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7902" w14:textId="77777777" w:rsidR="000B69C8" w:rsidRDefault="008D2090" w:rsidP="000C7198">
      <w:pPr>
        <w:pStyle w:val="Zkladn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9F168E6" wp14:editId="0D51F9B4">
            <wp:extent cx="1671430" cy="782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430" cy="78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BED1B" w14:textId="77777777" w:rsidR="000B69C8" w:rsidRDefault="000B69C8">
      <w:pPr>
        <w:pStyle w:val="Zkladntext"/>
        <w:spacing w:before="4"/>
        <w:rPr>
          <w:sz w:val="27"/>
        </w:rPr>
      </w:pPr>
    </w:p>
    <w:p w14:paraId="61E42B87" w14:textId="77777777" w:rsidR="000B69C8" w:rsidRDefault="008D2090">
      <w:pPr>
        <w:pStyle w:val="Nadpis1"/>
        <w:spacing w:before="90"/>
        <w:ind w:right="1725" w:firstLine="0"/>
        <w:jc w:val="center"/>
      </w:pPr>
      <w:r>
        <w:t>Informácie o piatich najlepších miestach výkonu a o dosiahnutej kvalite vykonávania</w:t>
      </w:r>
    </w:p>
    <w:p w14:paraId="0966CAAA" w14:textId="77777777" w:rsidR="000B69C8" w:rsidRDefault="000B69C8">
      <w:pPr>
        <w:pStyle w:val="Zkladntext"/>
        <w:rPr>
          <w:b/>
          <w:sz w:val="26"/>
        </w:rPr>
      </w:pPr>
    </w:p>
    <w:p w14:paraId="47798F75" w14:textId="77777777" w:rsidR="000B69C8" w:rsidRDefault="000B69C8" w:rsidP="000C7198">
      <w:pPr>
        <w:pStyle w:val="Zkladntext"/>
        <w:spacing w:before="4" w:line="276" w:lineRule="auto"/>
        <w:rPr>
          <w:b/>
          <w:sz w:val="31"/>
        </w:rPr>
      </w:pPr>
    </w:p>
    <w:p w14:paraId="1D816215" w14:textId="50199D0C" w:rsidR="000B69C8" w:rsidRDefault="008D2090" w:rsidP="00CA10B1">
      <w:pPr>
        <w:pStyle w:val="Zkladntext"/>
        <w:spacing w:line="276" w:lineRule="auto"/>
        <w:ind w:left="1112" w:right="1390" w:firstLine="360"/>
        <w:jc w:val="both"/>
      </w:pPr>
      <w:r>
        <w:t xml:space="preserve">Tento dokument je vyhotovený spoločnosťou CAPITAL MARKETS, o.c.p., a.s. </w:t>
      </w:r>
      <w:r w:rsidR="0005509F" w:rsidRPr="0005509F">
        <w:t>so sídlom  Slávičie údolie 106, Bratislava - mestská časť Staré mesto 811 02, IČO: 36 853 054, zapísaná v Obchodnom registri vedenom Mestským súdom Bratislava III, vložka č. 4295/B, oddiel Sa.</w:t>
      </w:r>
      <w:r w:rsidR="0005509F" w:rsidRPr="0005509F">
        <w:t xml:space="preserve"> </w:t>
      </w:r>
      <w:r>
        <w:t>(ďalej len „</w:t>
      </w:r>
      <w:r w:rsidRPr="0005509F">
        <w:rPr>
          <w:b/>
          <w:bCs/>
        </w:rPr>
        <w:t>Spoločnosť</w:t>
      </w:r>
      <w:r>
        <w:t>“) v súlade s aktuálnou platnou a účinnou Stratégiou vykonávania pokynov v CAPITAL MARKETS, o.c.p., a.s. na</w:t>
      </w:r>
      <w:r w:rsidR="00284A2B">
        <w:t> </w:t>
      </w:r>
      <w:r>
        <w:t>základe Smernice Európskeho parlamentu a Rady 2014/65/EÚ z 15. mája 2014 o trhoch s</w:t>
      </w:r>
      <w:r w:rsidR="00284A2B">
        <w:t> </w:t>
      </w:r>
      <w:r>
        <w:t>finančnými nástrojmi, ktorou sa mení smernica 2002/92/ES a smernica 2011/61/EÚ (</w:t>
      </w:r>
      <w:proofErr w:type="spellStart"/>
      <w:r>
        <w:t>MiFID</w:t>
      </w:r>
      <w:proofErr w:type="spellEnd"/>
      <w:r>
        <w:t xml:space="preserve"> 2) a v zmysle § 73p ods. 6 zákona č. 566/2001 Z. z. o cenných papieroch a investičných službách a</w:t>
      </w:r>
      <w:r w:rsidR="00284A2B">
        <w:t> </w:t>
      </w:r>
      <w:r>
        <w:t>o zmene a doplnení niektorých zákonov v znení neskorších predpisov, podľa ktorých je Spoločnosť povinná pre každý druh finančných nástrojov raz ročne vypracovať a zverejniť súhrn informácií z piatich najlepších miest výkonu z hľadiska objemov obchodovania na ročnej báze, pravidelne vyhodnocovať účinnosť stratégie vykonávania pokynov a oznamovať klientom všetky podstatné zmeny svojich opatrení na vykonávanie pokynov alebo stratégie vykonávania pokynov. Tento dokument obsahuje príslušné informácie za obdobie od 1. januára 20</w:t>
      </w:r>
      <w:r w:rsidR="000E0888">
        <w:t>2</w:t>
      </w:r>
      <w:r w:rsidR="006914B9">
        <w:t>4</w:t>
      </w:r>
      <w:r>
        <w:t xml:space="preserve"> do 31. decembra</w:t>
      </w:r>
      <w:r>
        <w:rPr>
          <w:spacing w:val="-2"/>
        </w:rPr>
        <w:t xml:space="preserve"> </w:t>
      </w:r>
      <w:r>
        <w:t>20</w:t>
      </w:r>
      <w:r w:rsidR="000E0888">
        <w:t>2</w:t>
      </w:r>
      <w:r w:rsidR="006914B9">
        <w:t>4</w:t>
      </w:r>
      <w:r>
        <w:t>.</w:t>
      </w:r>
    </w:p>
    <w:p w14:paraId="079C8CA9" w14:textId="77777777" w:rsidR="000B69C8" w:rsidRDefault="000B69C8" w:rsidP="000C7198">
      <w:pPr>
        <w:pStyle w:val="Zkladntext"/>
        <w:spacing w:line="276" w:lineRule="auto"/>
        <w:rPr>
          <w:sz w:val="35"/>
        </w:rPr>
      </w:pPr>
    </w:p>
    <w:p w14:paraId="1BCCD862" w14:textId="77777777" w:rsidR="000B69C8" w:rsidRDefault="008D2090" w:rsidP="000C7198">
      <w:pPr>
        <w:pStyle w:val="Nadpis1"/>
        <w:numPr>
          <w:ilvl w:val="0"/>
          <w:numId w:val="2"/>
        </w:numPr>
        <w:tabs>
          <w:tab w:val="left" w:pos="1834"/>
        </w:tabs>
        <w:spacing w:line="276" w:lineRule="auto"/>
        <w:ind w:hanging="361"/>
      </w:pPr>
      <w:r>
        <w:t>Päť najlepších miest vykonania a postúpenia</w:t>
      </w:r>
      <w:r>
        <w:rPr>
          <w:spacing w:val="-7"/>
        </w:rPr>
        <w:t xml:space="preserve"> </w:t>
      </w:r>
      <w:r>
        <w:t>pokynov</w:t>
      </w:r>
    </w:p>
    <w:p w14:paraId="1C95E8CB" w14:textId="77777777" w:rsidR="000B69C8" w:rsidRDefault="008D2090" w:rsidP="000C7198">
      <w:pPr>
        <w:pStyle w:val="Odsekzoznamu"/>
        <w:numPr>
          <w:ilvl w:val="0"/>
          <w:numId w:val="1"/>
        </w:numPr>
        <w:tabs>
          <w:tab w:val="left" w:pos="1834"/>
        </w:tabs>
        <w:spacing w:before="214" w:line="276" w:lineRule="auto"/>
        <w:ind w:hanging="361"/>
        <w:rPr>
          <w:sz w:val="24"/>
        </w:rPr>
      </w:pPr>
      <w:r>
        <w:rPr>
          <w:sz w:val="24"/>
        </w:rPr>
        <w:t>Kapitálové nástroje –</w:t>
      </w:r>
      <w:r>
        <w:rPr>
          <w:spacing w:val="2"/>
          <w:sz w:val="24"/>
        </w:rPr>
        <w:t xml:space="preserve"> </w:t>
      </w:r>
      <w:r>
        <w:rPr>
          <w:sz w:val="24"/>
        </w:rPr>
        <w:t>akcie</w:t>
      </w:r>
    </w:p>
    <w:p w14:paraId="3E106845" w14:textId="77777777" w:rsidR="000B69C8" w:rsidRDefault="000B69C8">
      <w:pPr>
        <w:pStyle w:val="Zkladntext"/>
        <w:rPr>
          <w:sz w:val="20"/>
        </w:rPr>
      </w:pPr>
    </w:p>
    <w:p w14:paraId="167D0592" w14:textId="77777777" w:rsidR="000B69C8" w:rsidRDefault="000B69C8">
      <w:pPr>
        <w:pStyle w:val="Zkladntext"/>
        <w:spacing w:before="7"/>
        <w:rPr>
          <w:sz w:val="1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844"/>
        <w:gridCol w:w="1844"/>
        <w:gridCol w:w="1560"/>
        <w:gridCol w:w="1407"/>
        <w:gridCol w:w="1649"/>
      </w:tblGrid>
      <w:tr w:rsidR="000B69C8" w14:paraId="1DAC4A67" w14:textId="77777777">
        <w:trPr>
          <w:trHeight w:val="434"/>
        </w:trPr>
        <w:tc>
          <w:tcPr>
            <w:tcW w:w="3404" w:type="dxa"/>
          </w:tcPr>
          <w:p w14:paraId="554B7819" w14:textId="77777777" w:rsidR="000B69C8" w:rsidRDefault="008D2090">
            <w:pPr>
              <w:pStyle w:val="TableParagraph"/>
              <w:spacing w:before="78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Trieda nástroja</w:t>
            </w:r>
          </w:p>
        </w:tc>
        <w:tc>
          <w:tcPr>
            <w:tcW w:w="8304" w:type="dxa"/>
            <w:gridSpan w:val="5"/>
          </w:tcPr>
          <w:p w14:paraId="4B4B2A8D" w14:textId="77777777" w:rsidR="000B69C8" w:rsidRDefault="008D2090">
            <w:pPr>
              <w:pStyle w:val="TableParagraph"/>
              <w:spacing w:before="78"/>
              <w:ind w:left="2577" w:right="25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Kapitálové nástroje – akcie</w:t>
            </w:r>
          </w:p>
        </w:tc>
      </w:tr>
      <w:tr w:rsidR="000B69C8" w14:paraId="6C5C384F" w14:textId="77777777">
        <w:trPr>
          <w:trHeight w:val="827"/>
        </w:trPr>
        <w:tc>
          <w:tcPr>
            <w:tcW w:w="3404" w:type="dxa"/>
          </w:tcPr>
          <w:p w14:paraId="75AF0976" w14:textId="77777777" w:rsidR="000B69C8" w:rsidRDefault="008D2090">
            <w:pPr>
              <w:pStyle w:val="TableParagraph"/>
              <w:spacing w:before="2" w:line="276" w:lineRule="exact"/>
              <w:ind w:left="71" w:right="5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oznámenie, ak v priemere &lt;1 obchod za pracovný deň v predchádzajúcom roku</w:t>
            </w:r>
          </w:p>
        </w:tc>
        <w:tc>
          <w:tcPr>
            <w:tcW w:w="8304" w:type="dxa"/>
            <w:gridSpan w:val="5"/>
          </w:tcPr>
          <w:p w14:paraId="570AEEF9" w14:textId="77777777" w:rsidR="000B69C8" w:rsidRDefault="000B69C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97EB114" w14:textId="77777777" w:rsidR="000B69C8" w:rsidRDefault="008D2090">
            <w:pPr>
              <w:pStyle w:val="TableParagraph"/>
              <w:ind w:left="2577" w:right="25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NIE</w:t>
            </w:r>
          </w:p>
        </w:tc>
      </w:tr>
      <w:tr w:rsidR="000B69C8" w14:paraId="505868B7" w14:textId="77777777">
        <w:trPr>
          <w:trHeight w:val="1929"/>
        </w:trPr>
        <w:tc>
          <w:tcPr>
            <w:tcW w:w="3404" w:type="dxa"/>
          </w:tcPr>
          <w:p w14:paraId="28E92C0E" w14:textId="77777777" w:rsidR="000B69C8" w:rsidRDefault="000B69C8">
            <w:pPr>
              <w:pStyle w:val="TableParagraph"/>
              <w:rPr>
                <w:rFonts w:ascii="Times New Roman"/>
                <w:sz w:val="26"/>
              </w:rPr>
            </w:pPr>
          </w:p>
          <w:p w14:paraId="144BEA95" w14:textId="77777777" w:rsidR="000B69C8" w:rsidRDefault="000B69C8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3F731345" w14:textId="77777777" w:rsidR="000B69C8" w:rsidRDefault="008D2090">
            <w:pPr>
              <w:pStyle w:val="TableParagraph"/>
              <w:ind w:left="71" w:righ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päť najlepších miest z hľadiska objemu (zostupné poradie )</w:t>
            </w:r>
          </w:p>
        </w:tc>
        <w:tc>
          <w:tcPr>
            <w:tcW w:w="1844" w:type="dxa"/>
          </w:tcPr>
          <w:p w14:paraId="3CB7204C" w14:textId="77777777" w:rsidR="000B69C8" w:rsidRDefault="008D2090">
            <w:pPr>
              <w:pStyle w:val="TableParagraph"/>
              <w:ind w:left="69" w:right="5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podiel vykonaného objemu ako percento</w:t>
            </w:r>
          </w:p>
          <w:p w14:paraId="585EE278" w14:textId="77777777" w:rsidR="000B69C8" w:rsidRDefault="008D2090">
            <w:pPr>
              <w:pStyle w:val="TableParagraph"/>
              <w:spacing w:line="270" w:lineRule="atLeast"/>
              <w:ind w:left="69" w:right="2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celkového objemu v danej triede</w:t>
            </w:r>
          </w:p>
        </w:tc>
        <w:tc>
          <w:tcPr>
            <w:tcW w:w="1844" w:type="dxa"/>
          </w:tcPr>
          <w:p w14:paraId="4B22EDC9" w14:textId="77777777" w:rsidR="000B69C8" w:rsidRDefault="008D2090">
            <w:pPr>
              <w:pStyle w:val="TableParagraph"/>
              <w:spacing w:before="135"/>
              <w:ind w:left="68" w:right="4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podiel vykonaných pokynov ako percento</w:t>
            </w:r>
          </w:p>
          <w:p w14:paraId="160909D8" w14:textId="77777777" w:rsidR="000B69C8" w:rsidRDefault="008D2090">
            <w:pPr>
              <w:pStyle w:val="TableParagraph"/>
              <w:spacing w:before="1"/>
              <w:ind w:left="68" w:right="1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celkového počtu v danej triede</w:t>
            </w:r>
          </w:p>
        </w:tc>
        <w:tc>
          <w:tcPr>
            <w:tcW w:w="1560" w:type="dxa"/>
          </w:tcPr>
          <w:p w14:paraId="73CB646E" w14:textId="77777777" w:rsidR="000B69C8" w:rsidRDefault="000B69C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CD8BC4E" w14:textId="77777777" w:rsidR="000B69C8" w:rsidRDefault="008D2090">
            <w:pPr>
              <w:pStyle w:val="TableParagraph"/>
              <w:ind w:left="68" w:right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percentuálny podiel pasívnych pokynov</w:t>
            </w:r>
          </w:p>
        </w:tc>
        <w:tc>
          <w:tcPr>
            <w:tcW w:w="1407" w:type="dxa"/>
          </w:tcPr>
          <w:p w14:paraId="01BCEF5B" w14:textId="77777777" w:rsidR="000B69C8" w:rsidRDefault="000B69C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8372291" w14:textId="77777777" w:rsidR="000B69C8" w:rsidRDefault="008D2090">
            <w:pPr>
              <w:pStyle w:val="TableParagraph"/>
              <w:ind w:left="68" w:righ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percentuálny podiel agresívnych pokynov</w:t>
            </w:r>
          </w:p>
        </w:tc>
        <w:tc>
          <w:tcPr>
            <w:tcW w:w="1649" w:type="dxa"/>
          </w:tcPr>
          <w:p w14:paraId="0635EA7A" w14:textId="77777777" w:rsidR="000B69C8" w:rsidRDefault="000B69C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D70ED9C" w14:textId="77777777" w:rsidR="000B69C8" w:rsidRDefault="008D2090">
            <w:pPr>
              <w:pStyle w:val="TableParagraph"/>
              <w:ind w:left="68"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percentuálny podiel nasmerovaných pokynov</w:t>
            </w:r>
          </w:p>
        </w:tc>
      </w:tr>
      <w:tr w:rsidR="000B69C8" w14:paraId="69C89D63" w14:textId="77777777">
        <w:trPr>
          <w:trHeight w:val="551"/>
        </w:trPr>
        <w:tc>
          <w:tcPr>
            <w:tcW w:w="3404" w:type="dxa"/>
          </w:tcPr>
          <w:p w14:paraId="6AB615A9" w14:textId="77777777" w:rsidR="000B69C8" w:rsidRDefault="008D2090">
            <w:pPr>
              <w:pStyle w:val="TableParagraph"/>
              <w:spacing w:before="2" w:line="276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KBC SECURITIES </w:t>
            </w:r>
            <w:r>
              <w:rPr>
                <w:rFonts w:ascii="Times New Roman"/>
                <w:w w:val="95"/>
                <w:sz w:val="24"/>
              </w:rPr>
              <w:t>(2138005SP78ELT822P61)</w:t>
            </w:r>
          </w:p>
        </w:tc>
        <w:tc>
          <w:tcPr>
            <w:tcW w:w="1844" w:type="dxa"/>
          </w:tcPr>
          <w:p w14:paraId="6669E4C9" w14:textId="1EFF4E21" w:rsidR="000B69C8" w:rsidRDefault="007E381F">
            <w:pPr>
              <w:pStyle w:val="TableParagraph"/>
              <w:spacing w:before="136"/>
              <w:ind w:left="464" w:right="4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88,43</w:t>
            </w:r>
            <w:r w:rsidR="00156C49">
              <w:rPr>
                <w:rFonts w:ascii="Times New Roman"/>
                <w:sz w:val="24"/>
              </w:rPr>
              <w:t xml:space="preserve"> </w:t>
            </w:r>
            <w:r w:rsidR="008D2090">
              <w:rPr>
                <w:rFonts w:ascii="Times New Roman"/>
                <w:sz w:val="24"/>
              </w:rPr>
              <w:t>%</w:t>
            </w:r>
          </w:p>
        </w:tc>
        <w:tc>
          <w:tcPr>
            <w:tcW w:w="1844" w:type="dxa"/>
          </w:tcPr>
          <w:p w14:paraId="077ADE8C" w14:textId="40DE1510" w:rsidR="000B69C8" w:rsidRDefault="007E381F">
            <w:pPr>
              <w:pStyle w:val="TableParagraph"/>
              <w:spacing w:before="136"/>
              <w:ind w:left="462" w:right="4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78,56</w:t>
            </w:r>
            <w:r w:rsidR="00156C49">
              <w:rPr>
                <w:rFonts w:ascii="Times New Roman"/>
                <w:sz w:val="24"/>
              </w:rPr>
              <w:t xml:space="preserve"> </w:t>
            </w:r>
            <w:r w:rsidR="008D2090">
              <w:rPr>
                <w:rFonts w:ascii="Times New Roman"/>
                <w:sz w:val="24"/>
              </w:rPr>
              <w:t>%</w:t>
            </w:r>
          </w:p>
        </w:tc>
        <w:tc>
          <w:tcPr>
            <w:tcW w:w="1560" w:type="dxa"/>
          </w:tcPr>
          <w:p w14:paraId="0FB84713" w14:textId="77777777" w:rsidR="000B69C8" w:rsidRDefault="008D2090">
            <w:pPr>
              <w:pStyle w:val="TableParagraph"/>
              <w:spacing w:before="136"/>
              <w:ind w:right="7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2B8B6FCE" w14:textId="77777777" w:rsidR="000B69C8" w:rsidRDefault="008D2090">
            <w:pPr>
              <w:pStyle w:val="TableParagraph"/>
              <w:spacing w:before="136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1F4D0BC1" w14:textId="77777777" w:rsidR="000B69C8" w:rsidRDefault="008D2090">
            <w:pPr>
              <w:pStyle w:val="TableParagraph"/>
              <w:spacing w:before="136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0B69C8" w14:paraId="39DAFA06" w14:textId="77777777">
        <w:trPr>
          <w:trHeight w:val="491"/>
        </w:trPr>
        <w:tc>
          <w:tcPr>
            <w:tcW w:w="3404" w:type="dxa"/>
          </w:tcPr>
          <w:p w14:paraId="504ADA99" w14:textId="4626FE69" w:rsidR="000B69C8" w:rsidRDefault="003C79BD" w:rsidP="007E381F">
            <w:pPr>
              <w:pStyle w:val="TableParagraph"/>
              <w:spacing w:before="104"/>
              <w:ind w:right="129"/>
              <w:rPr>
                <w:rFonts w:ascii="Times New Roman"/>
                <w:sz w:val="24"/>
              </w:rPr>
            </w:pPr>
            <w:r w:rsidRPr="003C79BD">
              <w:rPr>
                <w:rFonts w:ascii="Times New Roman"/>
                <w:sz w:val="24"/>
              </w:rPr>
              <w:t>XNT LTD.</w:t>
            </w:r>
            <w:r>
              <w:rPr>
                <w:rFonts w:ascii="Times New Roman"/>
                <w:sz w:val="24"/>
              </w:rPr>
              <w:t xml:space="preserve"> </w:t>
            </w:r>
            <w:r w:rsidR="007E381F">
              <w:rPr>
                <w:rFonts w:ascii="Times New Roman"/>
                <w:sz w:val="24"/>
              </w:rPr>
              <w:t>(</w:t>
            </w:r>
            <w:r w:rsidR="007E381F" w:rsidRPr="007E381F">
              <w:rPr>
                <w:rFonts w:ascii="Times New Roman"/>
                <w:sz w:val="24"/>
              </w:rPr>
              <w:t>635400MMGYK7HLRQGV31</w:t>
            </w:r>
            <w:r w:rsidR="007E381F">
              <w:rPr>
                <w:rFonts w:ascii="Times New Roman"/>
                <w:sz w:val="24"/>
              </w:rPr>
              <w:t>)</w:t>
            </w:r>
          </w:p>
        </w:tc>
        <w:tc>
          <w:tcPr>
            <w:tcW w:w="1844" w:type="dxa"/>
          </w:tcPr>
          <w:p w14:paraId="62B0EE2E" w14:textId="4ADE316A" w:rsidR="000B69C8" w:rsidRDefault="007E381F">
            <w:pPr>
              <w:pStyle w:val="TableParagraph"/>
              <w:spacing w:before="104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11,57 %</w:t>
            </w:r>
          </w:p>
        </w:tc>
        <w:tc>
          <w:tcPr>
            <w:tcW w:w="1844" w:type="dxa"/>
          </w:tcPr>
          <w:p w14:paraId="38AE494E" w14:textId="3EDC9526" w:rsidR="000B69C8" w:rsidRDefault="007E381F">
            <w:pPr>
              <w:pStyle w:val="TableParagraph"/>
              <w:spacing w:before="104"/>
              <w:ind w:left="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21,44 %</w:t>
            </w:r>
          </w:p>
        </w:tc>
        <w:tc>
          <w:tcPr>
            <w:tcW w:w="1560" w:type="dxa"/>
          </w:tcPr>
          <w:p w14:paraId="113F1313" w14:textId="77777777" w:rsidR="000B69C8" w:rsidRDefault="008D2090">
            <w:pPr>
              <w:pStyle w:val="TableParagraph"/>
              <w:spacing w:before="104"/>
              <w:ind w:right="7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3BCB7C4C" w14:textId="77777777" w:rsidR="000B69C8" w:rsidRDefault="008D2090">
            <w:pPr>
              <w:pStyle w:val="TableParagraph"/>
              <w:spacing w:before="104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086C3286" w14:textId="77777777" w:rsidR="000B69C8" w:rsidRDefault="008D2090">
            <w:pPr>
              <w:pStyle w:val="TableParagraph"/>
              <w:spacing w:before="104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0B69C8" w14:paraId="6F0E4F9C" w14:textId="77777777">
        <w:trPr>
          <w:trHeight w:val="510"/>
        </w:trPr>
        <w:tc>
          <w:tcPr>
            <w:tcW w:w="3404" w:type="dxa"/>
          </w:tcPr>
          <w:p w14:paraId="20B68CA0" w14:textId="77777777" w:rsidR="000B69C8" w:rsidRDefault="008D2090">
            <w:pPr>
              <w:pStyle w:val="TableParagraph"/>
              <w:spacing w:before="116"/>
              <w:ind w:right="16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163DA4CD" w14:textId="77777777" w:rsidR="000B69C8" w:rsidRDefault="008D2090">
            <w:pPr>
              <w:pStyle w:val="TableParagraph"/>
              <w:spacing w:before="116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55E81BAC" w14:textId="77777777" w:rsidR="000B69C8" w:rsidRDefault="008D2090">
            <w:pPr>
              <w:pStyle w:val="TableParagraph"/>
              <w:spacing w:before="116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14:paraId="447A6F19" w14:textId="77777777" w:rsidR="000B69C8" w:rsidRDefault="008D2090">
            <w:pPr>
              <w:pStyle w:val="TableParagraph"/>
              <w:spacing w:before="116"/>
              <w:ind w:right="7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2804F537" w14:textId="77777777" w:rsidR="000B69C8" w:rsidRDefault="008D2090">
            <w:pPr>
              <w:pStyle w:val="TableParagraph"/>
              <w:spacing w:before="116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613FFE5E" w14:textId="77777777" w:rsidR="000B69C8" w:rsidRDefault="008D2090">
            <w:pPr>
              <w:pStyle w:val="TableParagraph"/>
              <w:spacing w:before="116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0B69C8" w14:paraId="2334B1DD" w14:textId="77777777">
        <w:trPr>
          <w:trHeight w:val="686"/>
        </w:trPr>
        <w:tc>
          <w:tcPr>
            <w:tcW w:w="3404" w:type="dxa"/>
          </w:tcPr>
          <w:p w14:paraId="1311105B" w14:textId="77777777" w:rsidR="000B69C8" w:rsidRDefault="008D2090">
            <w:pPr>
              <w:pStyle w:val="TableParagraph"/>
              <w:spacing w:before="66"/>
              <w:ind w:right="16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69D71FEE" w14:textId="77777777" w:rsidR="000B69C8" w:rsidRDefault="008D2090">
            <w:pPr>
              <w:pStyle w:val="TableParagraph"/>
              <w:spacing w:before="66"/>
              <w:ind w:left="7"/>
              <w:jc w:val="center"/>
              <w:rPr>
                <w:rFonts w:ascii="Times New Roman"/>
                <w:w w:val="99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 w14:paraId="409872EA" w14:textId="77777777" w:rsidR="00F541E8" w:rsidRPr="00F541E8" w:rsidRDefault="00F541E8" w:rsidP="00F541E8"/>
          <w:p w14:paraId="6A4F58F3" w14:textId="77777777" w:rsidR="00F541E8" w:rsidRPr="00F541E8" w:rsidRDefault="00F541E8" w:rsidP="00F541E8"/>
          <w:p w14:paraId="04582E47" w14:textId="77777777" w:rsidR="00F541E8" w:rsidRPr="00F541E8" w:rsidRDefault="00F541E8" w:rsidP="00F541E8"/>
          <w:p w14:paraId="3BFC0C46" w14:textId="77777777" w:rsidR="00F541E8" w:rsidRPr="00F541E8" w:rsidRDefault="00F541E8" w:rsidP="00F541E8"/>
          <w:p w14:paraId="0AF832D8" w14:textId="77777777" w:rsidR="00F541E8" w:rsidRPr="00F541E8" w:rsidRDefault="00F541E8" w:rsidP="00F541E8"/>
          <w:p w14:paraId="56211F15" w14:textId="77777777" w:rsidR="00F541E8" w:rsidRPr="00F541E8" w:rsidRDefault="00F541E8" w:rsidP="00F541E8"/>
          <w:p w14:paraId="10AD3021" w14:textId="77777777" w:rsidR="00F541E8" w:rsidRPr="00F541E8" w:rsidRDefault="00F541E8" w:rsidP="00F541E8">
            <w:pPr>
              <w:ind w:firstLine="720"/>
            </w:pPr>
          </w:p>
        </w:tc>
        <w:tc>
          <w:tcPr>
            <w:tcW w:w="1844" w:type="dxa"/>
          </w:tcPr>
          <w:p w14:paraId="5F1C16E3" w14:textId="77777777" w:rsidR="000B69C8" w:rsidRDefault="008D2090">
            <w:pPr>
              <w:pStyle w:val="TableParagraph"/>
              <w:spacing w:before="66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lastRenderedPageBreak/>
              <w:t>-</w:t>
            </w:r>
          </w:p>
        </w:tc>
        <w:tc>
          <w:tcPr>
            <w:tcW w:w="1560" w:type="dxa"/>
          </w:tcPr>
          <w:p w14:paraId="53A6E572" w14:textId="77777777" w:rsidR="000B69C8" w:rsidRDefault="008D2090">
            <w:pPr>
              <w:pStyle w:val="TableParagraph"/>
              <w:spacing w:before="66"/>
              <w:ind w:right="7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44BD1E3B" w14:textId="77777777" w:rsidR="000B69C8" w:rsidRDefault="008D2090">
            <w:pPr>
              <w:pStyle w:val="TableParagraph"/>
              <w:spacing w:before="66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263D92C7" w14:textId="77777777" w:rsidR="000B69C8" w:rsidRDefault="008D2090">
            <w:pPr>
              <w:pStyle w:val="TableParagraph"/>
              <w:spacing w:before="66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</w:tbl>
    <w:p w14:paraId="37982F65" w14:textId="77777777" w:rsidR="000B69C8" w:rsidRDefault="000B69C8">
      <w:pPr>
        <w:jc w:val="center"/>
        <w:rPr>
          <w:sz w:val="24"/>
        </w:rPr>
        <w:sectPr w:rsidR="000B69C8" w:rsidSect="000C7198">
          <w:footerReference w:type="default" r:id="rId8"/>
          <w:type w:val="continuous"/>
          <w:pgSz w:w="11900" w:h="16840"/>
          <w:pgMar w:top="568" w:right="0" w:bottom="560" w:left="20" w:header="708" w:footer="363" w:gutter="0"/>
          <w:cols w:space="708"/>
        </w:sectPr>
      </w:pPr>
    </w:p>
    <w:p w14:paraId="645F13CD" w14:textId="77777777" w:rsidR="000B69C8" w:rsidRDefault="008D2090">
      <w:pPr>
        <w:pStyle w:val="Odsekzoznamu"/>
        <w:numPr>
          <w:ilvl w:val="0"/>
          <w:numId w:val="1"/>
        </w:numPr>
        <w:tabs>
          <w:tab w:val="left" w:pos="1834"/>
        </w:tabs>
        <w:spacing w:before="179"/>
        <w:ind w:hanging="361"/>
        <w:rPr>
          <w:sz w:val="24"/>
        </w:rPr>
      </w:pPr>
      <w:r>
        <w:rPr>
          <w:sz w:val="24"/>
        </w:rPr>
        <w:lastRenderedPageBreak/>
        <w:t>Produkty obchodované na</w:t>
      </w:r>
      <w:r>
        <w:rPr>
          <w:spacing w:val="-3"/>
          <w:sz w:val="24"/>
        </w:rPr>
        <w:t xml:space="preserve"> </w:t>
      </w:r>
      <w:r>
        <w:rPr>
          <w:sz w:val="24"/>
        </w:rPr>
        <w:t>burze</w:t>
      </w:r>
    </w:p>
    <w:p w14:paraId="2E877EB5" w14:textId="77777777" w:rsidR="000B69C8" w:rsidRDefault="000B69C8">
      <w:pPr>
        <w:pStyle w:val="Zkladntext"/>
        <w:rPr>
          <w:sz w:val="20"/>
        </w:rPr>
      </w:pPr>
    </w:p>
    <w:p w14:paraId="1F14BA6D" w14:textId="77777777" w:rsidR="000B69C8" w:rsidRDefault="000B69C8">
      <w:pPr>
        <w:pStyle w:val="Zkladntext"/>
        <w:spacing w:before="8"/>
        <w:rPr>
          <w:sz w:val="1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844"/>
        <w:gridCol w:w="1844"/>
        <w:gridCol w:w="1560"/>
        <w:gridCol w:w="1407"/>
        <w:gridCol w:w="1649"/>
      </w:tblGrid>
      <w:tr w:rsidR="000B69C8" w14:paraId="4DFA1B94" w14:textId="77777777">
        <w:trPr>
          <w:trHeight w:val="419"/>
        </w:trPr>
        <w:tc>
          <w:tcPr>
            <w:tcW w:w="3404" w:type="dxa"/>
          </w:tcPr>
          <w:p w14:paraId="7940A4D0" w14:textId="77777777" w:rsidR="000B69C8" w:rsidRDefault="008D2090" w:rsidP="00156C49">
            <w:pPr>
              <w:pStyle w:val="TableParagraph"/>
              <w:spacing w:before="71"/>
              <w:ind w:left="71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Trieda nástroja</w:t>
            </w:r>
          </w:p>
        </w:tc>
        <w:tc>
          <w:tcPr>
            <w:tcW w:w="8304" w:type="dxa"/>
            <w:gridSpan w:val="5"/>
          </w:tcPr>
          <w:p w14:paraId="3FFFA8C3" w14:textId="77777777" w:rsidR="000B69C8" w:rsidRDefault="008D2090">
            <w:pPr>
              <w:pStyle w:val="TableParagraph"/>
              <w:spacing w:before="71"/>
              <w:ind w:left="2577" w:right="25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Produkty obchodované na burze</w:t>
            </w:r>
          </w:p>
        </w:tc>
      </w:tr>
      <w:tr w:rsidR="000B69C8" w14:paraId="368A312E" w14:textId="77777777">
        <w:trPr>
          <w:trHeight w:val="827"/>
        </w:trPr>
        <w:tc>
          <w:tcPr>
            <w:tcW w:w="3404" w:type="dxa"/>
          </w:tcPr>
          <w:p w14:paraId="0F00D556" w14:textId="77777777" w:rsidR="000B69C8" w:rsidRDefault="008D2090" w:rsidP="00156C49">
            <w:pPr>
              <w:pStyle w:val="TableParagraph"/>
              <w:spacing w:before="2" w:line="276" w:lineRule="exact"/>
              <w:ind w:left="71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oznámenie, ak v priemere &lt;1 obchod za pracovný deň v predchádzajúcom roku</w:t>
            </w:r>
          </w:p>
        </w:tc>
        <w:tc>
          <w:tcPr>
            <w:tcW w:w="8304" w:type="dxa"/>
            <w:gridSpan w:val="5"/>
          </w:tcPr>
          <w:p w14:paraId="2E04EC2E" w14:textId="77777777" w:rsidR="000B69C8" w:rsidRDefault="000B69C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DE5736F" w14:textId="77777777" w:rsidR="000B69C8" w:rsidRDefault="008D2090">
            <w:pPr>
              <w:pStyle w:val="TableParagraph"/>
              <w:ind w:left="2577" w:right="25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NIE</w:t>
            </w:r>
          </w:p>
        </w:tc>
      </w:tr>
      <w:tr w:rsidR="000B69C8" w14:paraId="03C583EB" w14:textId="77777777">
        <w:trPr>
          <w:trHeight w:val="1930"/>
        </w:trPr>
        <w:tc>
          <w:tcPr>
            <w:tcW w:w="3404" w:type="dxa"/>
          </w:tcPr>
          <w:p w14:paraId="6E8D92F7" w14:textId="77777777" w:rsidR="000B69C8" w:rsidRDefault="000B69C8" w:rsidP="00156C49">
            <w:pPr>
              <w:pStyle w:val="TableParagraph"/>
              <w:ind w:right="255"/>
              <w:rPr>
                <w:rFonts w:ascii="Times New Roman"/>
                <w:sz w:val="26"/>
              </w:rPr>
            </w:pPr>
          </w:p>
          <w:p w14:paraId="484C0517" w14:textId="77777777" w:rsidR="000B69C8" w:rsidRDefault="000B69C8" w:rsidP="00156C49">
            <w:pPr>
              <w:pStyle w:val="TableParagraph"/>
              <w:spacing w:before="9"/>
              <w:ind w:right="255"/>
              <w:rPr>
                <w:rFonts w:ascii="Times New Roman"/>
                <w:sz w:val="33"/>
              </w:rPr>
            </w:pPr>
          </w:p>
          <w:p w14:paraId="276C2AD5" w14:textId="77777777" w:rsidR="000B69C8" w:rsidRDefault="008D2090" w:rsidP="00156C49">
            <w:pPr>
              <w:pStyle w:val="TableParagraph"/>
              <w:ind w:left="71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päť najlepších miest z hľadiska objemu (zostupné poradie )</w:t>
            </w:r>
          </w:p>
        </w:tc>
        <w:tc>
          <w:tcPr>
            <w:tcW w:w="1844" w:type="dxa"/>
          </w:tcPr>
          <w:p w14:paraId="7BB4014C" w14:textId="77777777" w:rsidR="000B69C8" w:rsidRDefault="008D2090">
            <w:pPr>
              <w:pStyle w:val="TableParagraph"/>
              <w:ind w:left="69" w:right="5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podiel vykonaného objemu ako percento</w:t>
            </w:r>
          </w:p>
          <w:p w14:paraId="43A2AB3C" w14:textId="77777777" w:rsidR="000B69C8" w:rsidRDefault="008D2090">
            <w:pPr>
              <w:pStyle w:val="TableParagraph"/>
              <w:spacing w:line="270" w:lineRule="atLeast"/>
              <w:ind w:left="69" w:right="2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celkového objemu v danej triede</w:t>
            </w:r>
          </w:p>
        </w:tc>
        <w:tc>
          <w:tcPr>
            <w:tcW w:w="1844" w:type="dxa"/>
          </w:tcPr>
          <w:p w14:paraId="528FE28E" w14:textId="77777777" w:rsidR="000B69C8" w:rsidRDefault="008D2090">
            <w:pPr>
              <w:pStyle w:val="TableParagraph"/>
              <w:spacing w:before="135"/>
              <w:ind w:left="68" w:right="4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podiel vykonaných pokynov ako percento</w:t>
            </w:r>
          </w:p>
          <w:p w14:paraId="74F33F8B" w14:textId="77777777" w:rsidR="000B69C8" w:rsidRDefault="008D2090">
            <w:pPr>
              <w:pStyle w:val="TableParagraph"/>
              <w:spacing w:before="1"/>
              <w:ind w:left="68" w:right="1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celkového počtu v danej triede</w:t>
            </w:r>
          </w:p>
        </w:tc>
        <w:tc>
          <w:tcPr>
            <w:tcW w:w="1560" w:type="dxa"/>
          </w:tcPr>
          <w:p w14:paraId="32D9AF28" w14:textId="77777777" w:rsidR="000B69C8" w:rsidRDefault="000B69C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4216E84" w14:textId="77777777" w:rsidR="000B69C8" w:rsidRDefault="008D2090">
            <w:pPr>
              <w:pStyle w:val="TableParagraph"/>
              <w:ind w:left="68" w:right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percentuálny podiel pasívnych pokynov</w:t>
            </w:r>
          </w:p>
        </w:tc>
        <w:tc>
          <w:tcPr>
            <w:tcW w:w="1407" w:type="dxa"/>
          </w:tcPr>
          <w:p w14:paraId="7199A7C0" w14:textId="77777777" w:rsidR="000B69C8" w:rsidRDefault="000B69C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EC55CDF" w14:textId="77777777" w:rsidR="000B69C8" w:rsidRDefault="008D2090">
            <w:pPr>
              <w:pStyle w:val="TableParagraph"/>
              <w:ind w:left="68" w:righ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percentuálny podiel agresívnych pokynov</w:t>
            </w:r>
          </w:p>
        </w:tc>
        <w:tc>
          <w:tcPr>
            <w:tcW w:w="1649" w:type="dxa"/>
          </w:tcPr>
          <w:p w14:paraId="6488B50B" w14:textId="77777777" w:rsidR="000B69C8" w:rsidRDefault="000B69C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B96659F" w14:textId="77777777" w:rsidR="000B69C8" w:rsidRDefault="008D2090">
            <w:pPr>
              <w:pStyle w:val="TableParagraph"/>
              <w:ind w:left="68"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percentuálny podiel nasmerovaných pokynov</w:t>
            </w:r>
          </w:p>
        </w:tc>
      </w:tr>
      <w:tr w:rsidR="000B69C8" w14:paraId="07E599E7" w14:textId="77777777">
        <w:trPr>
          <w:trHeight w:val="549"/>
        </w:trPr>
        <w:tc>
          <w:tcPr>
            <w:tcW w:w="3404" w:type="dxa"/>
          </w:tcPr>
          <w:p w14:paraId="4B628B4A" w14:textId="77777777" w:rsidR="000B69C8" w:rsidRDefault="008D2090" w:rsidP="00156C49">
            <w:pPr>
              <w:pStyle w:val="TableParagraph"/>
              <w:spacing w:line="276" w:lineRule="exact"/>
              <w:ind w:left="71" w:righ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KBC SECURITIES </w:t>
            </w:r>
            <w:r>
              <w:rPr>
                <w:rFonts w:ascii="Times New Roman"/>
                <w:w w:val="95"/>
                <w:sz w:val="24"/>
              </w:rPr>
              <w:t>(2138005SP78ELT822P61)</w:t>
            </w:r>
          </w:p>
        </w:tc>
        <w:tc>
          <w:tcPr>
            <w:tcW w:w="1844" w:type="dxa"/>
          </w:tcPr>
          <w:p w14:paraId="1E866336" w14:textId="63C176AF" w:rsidR="000B69C8" w:rsidRDefault="008D2090">
            <w:pPr>
              <w:pStyle w:val="TableParagraph"/>
              <w:spacing w:before="136"/>
              <w:ind w:left="464" w:right="4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  <w:r w:rsidR="00156C49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844" w:type="dxa"/>
          </w:tcPr>
          <w:p w14:paraId="2498D37A" w14:textId="0FF2FD41" w:rsidR="000B69C8" w:rsidRDefault="008D2090">
            <w:pPr>
              <w:pStyle w:val="TableParagraph"/>
              <w:spacing w:before="136"/>
              <w:ind w:left="462" w:right="4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  <w:r w:rsidR="00156C49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560" w:type="dxa"/>
          </w:tcPr>
          <w:p w14:paraId="15F5C664" w14:textId="77777777" w:rsidR="000B69C8" w:rsidRDefault="008D2090">
            <w:pPr>
              <w:pStyle w:val="TableParagraph"/>
              <w:spacing w:before="136"/>
              <w:ind w:right="7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10C8A05B" w14:textId="77777777" w:rsidR="000B69C8" w:rsidRDefault="008D2090">
            <w:pPr>
              <w:pStyle w:val="TableParagraph"/>
              <w:spacing w:before="136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7BBC751B" w14:textId="77777777" w:rsidR="000B69C8" w:rsidRDefault="008D2090">
            <w:pPr>
              <w:pStyle w:val="TableParagraph"/>
              <w:spacing w:before="136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0B69C8" w14:paraId="3C659A95" w14:textId="77777777">
        <w:trPr>
          <w:trHeight w:val="508"/>
        </w:trPr>
        <w:tc>
          <w:tcPr>
            <w:tcW w:w="3404" w:type="dxa"/>
          </w:tcPr>
          <w:p w14:paraId="0E4DE799" w14:textId="77777777" w:rsidR="000B69C8" w:rsidRDefault="008D2090">
            <w:pPr>
              <w:pStyle w:val="TableParagraph"/>
              <w:spacing w:before="114"/>
              <w:ind w:right="16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5DBA804B" w14:textId="77777777" w:rsidR="000B69C8" w:rsidRDefault="008D2090">
            <w:pPr>
              <w:pStyle w:val="TableParagraph"/>
              <w:spacing w:before="114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56D8A16D" w14:textId="77777777" w:rsidR="000B69C8" w:rsidRDefault="008D2090">
            <w:pPr>
              <w:pStyle w:val="TableParagraph"/>
              <w:spacing w:before="114"/>
              <w:ind w:left="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14:paraId="4FB5A6D1" w14:textId="77777777" w:rsidR="000B69C8" w:rsidRDefault="008D2090">
            <w:pPr>
              <w:pStyle w:val="TableParagraph"/>
              <w:spacing w:before="114"/>
              <w:ind w:right="7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6CD8010" w14:textId="77777777" w:rsidR="000B69C8" w:rsidRDefault="008D2090">
            <w:pPr>
              <w:pStyle w:val="TableParagraph"/>
              <w:spacing w:before="114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14B69B04" w14:textId="77777777" w:rsidR="000B69C8" w:rsidRDefault="008D2090">
            <w:pPr>
              <w:pStyle w:val="TableParagraph"/>
              <w:spacing w:before="114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0B69C8" w14:paraId="5F5F8A95" w14:textId="77777777">
        <w:trPr>
          <w:trHeight w:val="345"/>
        </w:trPr>
        <w:tc>
          <w:tcPr>
            <w:tcW w:w="3404" w:type="dxa"/>
          </w:tcPr>
          <w:p w14:paraId="20E80D76" w14:textId="77777777" w:rsidR="000B69C8" w:rsidRDefault="008D2090">
            <w:pPr>
              <w:pStyle w:val="TableParagraph"/>
              <w:spacing w:before="32"/>
              <w:ind w:right="16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01593EB7" w14:textId="77777777" w:rsidR="000B69C8" w:rsidRDefault="008D2090">
            <w:pPr>
              <w:pStyle w:val="TableParagraph"/>
              <w:spacing w:before="32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57C79399" w14:textId="77777777" w:rsidR="000B69C8" w:rsidRDefault="008D2090">
            <w:pPr>
              <w:pStyle w:val="TableParagraph"/>
              <w:spacing w:before="32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14:paraId="1E76395D" w14:textId="77777777" w:rsidR="000B69C8" w:rsidRDefault="008D2090">
            <w:pPr>
              <w:pStyle w:val="TableParagraph"/>
              <w:spacing w:before="32"/>
              <w:ind w:right="7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38836F7D" w14:textId="77777777" w:rsidR="000B69C8" w:rsidRDefault="008D2090">
            <w:pPr>
              <w:pStyle w:val="TableParagraph"/>
              <w:spacing w:before="32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2558EBEC" w14:textId="77777777" w:rsidR="000B69C8" w:rsidRDefault="008D2090">
            <w:pPr>
              <w:pStyle w:val="TableParagraph"/>
              <w:spacing w:before="32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0B69C8" w14:paraId="1D93A824" w14:textId="77777777">
        <w:trPr>
          <w:trHeight w:val="405"/>
        </w:trPr>
        <w:tc>
          <w:tcPr>
            <w:tcW w:w="3404" w:type="dxa"/>
          </w:tcPr>
          <w:p w14:paraId="6F546BC4" w14:textId="77777777" w:rsidR="000B69C8" w:rsidRDefault="008D2090">
            <w:pPr>
              <w:pStyle w:val="TableParagraph"/>
              <w:spacing w:before="63"/>
              <w:ind w:right="16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14B71ECA" w14:textId="77777777" w:rsidR="000B69C8" w:rsidRDefault="008D2090">
            <w:pPr>
              <w:pStyle w:val="TableParagraph"/>
              <w:spacing w:before="63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5024E41A" w14:textId="77777777" w:rsidR="000B69C8" w:rsidRDefault="008D2090">
            <w:pPr>
              <w:pStyle w:val="TableParagraph"/>
              <w:spacing w:before="63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14:paraId="324FA68B" w14:textId="77777777" w:rsidR="000B69C8" w:rsidRDefault="008D2090">
            <w:pPr>
              <w:pStyle w:val="TableParagraph"/>
              <w:spacing w:before="63"/>
              <w:ind w:right="7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34B4E7F5" w14:textId="77777777" w:rsidR="000B69C8" w:rsidRDefault="008D2090">
            <w:pPr>
              <w:pStyle w:val="TableParagraph"/>
              <w:spacing w:before="63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1B336418" w14:textId="77777777" w:rsidR="000B69C8" w:rsidRDefault="008D2090">
            <w:pPr>
              <w:pStyle w:val="TableParagraph"/>
              <w:spacing w:before="63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</w:tbl>
    <w:p w14:paraId="44A62221" w14:textId="77777777" w:rsidR="000B69C8" w:rsidRDefault="000B69C8">
      <w:pPr>
        <w:pStyle w:val="Zkladntext"/>
        <w:spacing w:before="4"/>
        <w:rPr>
          <w:sz w:val="29"/>
        </w:rPr>
      </w:pPr>
    </w:p>
    <w:p w14:paraId="3478168B" w14:textId="77777777" w:rsidR="000B69C8" w:rsidRDefault="008D2090">
      <w:pPr>
        <w:pStyle w:val="Odsekzoznamu"/>
        <w:numPr>
          <w:ilvl w:val="0"/>
          <w:numId w:val="1"/>
        </w:numPr>
        <w:tabs>
          <w:tab w:val="left" w:pos="1834"/>
        </w:tabs>
        <w:ind w:hanging="361"/>
        <w:rPr>
          <w:sz w:val="24"/>
        </w:rPr>
      </w:pPr>
      <w:r>
        <w:rPr>
          <w:sz w:val="24"/>
        </w:rPr>
        <w:t>Iné</w:t>
      </w:r>
      <w:r>
        <w:rPr>
          <w:spacing w:val="-2"/>
          <w:sz w:val="24"/>
        </w:rPr>
        <w:t xml:space="preserve"> </w:t>
      </w:r>
      <w:r>
        <w:rPr>
          <w:sz w:val="24"/>
        </w:rPr>
        <w:t>produkty</w:t>
      </w:r>
    </w:p>
    <w:p w14:paraId="7E05A211" w14:textId="77777777" w:rsidR="000B69C8" w:rsidRDefault="000B69C8">
      <w:pPr>
        <w:pStyle w:val="Zkladntext"/>
        <w:rPr>
          <w:sz w:val="20"/>
        </w:rPr>
      </w:pPr>
    </w:p>
    <w:p w14:paraId="392762A2" w14:textId="77777777" w:rsidR="000B69C8" w:rsidRDefault="000B69C8">
      <w:pPr>
        <w:pStyle w:val="Zkladntext"/>
        <w:spacing w:before="8"/>
        <w:rPr>
          <w:sz w:val="1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844"/>
        <w:gridCol w:w="1844"/>
        <w:gridCol w:w="1560"/>
        <w:gridCol w:w="1407"/>
        <w:gridCol w:w="1649"/>
      </w:tblGrid>
      <w:tr w:rsidR="000B69C8" w14:paraId="733FC33F" w14:textId="77777777">
        <w:trPr>
          <w:trHeight w:val="275"/>
        </w:trPr>
        <w:tc>
          <w:tcPr>
            <w:tcW w:w="3404" w:type="dxa"/>
          </w:tcPr>
          <w:p w14:paraId="36FFAF74" w14:textId="77777777" w:rsidR="000B69C8" w:rsidRDefault="008D2090">
            <w:pPr>
              <w:pStyle w:val="TableParagraph"/>
              <w:spacing w:line="256" w:lineRule="exact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Trieda nástroja</w:t>
            </w:r>
          </w:p>
        </w:tc>
        <w:tc>
          <w:tcPr>
            <w:tcW w:w="8304" w:type="dxa"/>
            <w:gridSpan w:val="5"/>
          </w:tcPr>
          <w:p w14:paraId="09FABD60" w14:textId="77777777" w:rsidR="000B69C8" w:rsidRDefault="008D2090">
            <w:pPr>
              <w:pStyle w:val="TableParagraph"/>
              <w:spacing w:line="256" w:lineRule="exact"/>
              <w:ind w:left="2577" w:right="256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Iné produkty</w:t>
            </w:r>
          </w:p>
        </w:tc>
      </w:tr>
      <w:tr w:rsidR="000B69C8" w14:paraId="1AD83004" w14:textId="77777777">
        <w:trPr>
          <w:trHeight w:val="827"/>
        </w:trPr>
        <w:tc>
          <w:tcPr>
            <w:tcW w:w="3404" w:type="dxa"/>
          </w:tcPr>
          <w:p w14:paraId="70322AA4" w14:textId="77777777" w:rsidR="000B69C8" w:rsidRDefault="008D2090" w:rsidP="00156C49">
            <w:pPr>
              <w:pStyle w:val="TableParagraph"/>
              <w:spacing w:before="2" w:line="276" w:lineRule="exact"/>
              <w:ind w:left="76" w:righ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oznámenie, ak v priemere &lt;1 obchod za pracovný deň v predchádzajúcom roku</w:t>
            </w:r>
          </w:p>
        </w:tc>
        <w:tc>
          <w:tcPr>
            <w:tcW w:w="8304" w:type="dxa"/>
            <w:gridSpan w:val="5"/>
          </w:tcPr>
          <w:p w14:paraId="4F9ABF00" w14:textId="77777777" w:rsidR="000B69C8" w:rsidRDefault="000B69C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E9E52B7" w14:textId="77777777" w:rsidR="000B69C8" w:rsidRDefault="008D2090">
            <w:pPr>
              <w:pStyle w:val="TableParagraph"/>
              <w:ind w:left="2577" w:right="25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NIE</w:t>
            </w:r>
          </w:p>
        </w:tc>
      </w:tr>
      <w:tr w:rsidR="000B69C8" w14:paraId="226BCE34" w14:textId="77777777">
        <w:trPr>
          <w:trHeight w:val="1930"/>
        </w:trPr>
        <w:tc>
          <w:tcPr>
            <w:tcW w:w="3404" w:type="dxa"/>
          </w:tcPr>
          <w:p w14:paraId="72B6D4E7" w14:textId="77777777" w:rsidR="000B69C8" w:rsidRDefault="000B69C8">
            <w:pPr>
              <w:pStyle w:val="TableParagraph"/>
              <w:rPr>
                <w:rFonts w:ascii="Times New Roman"/>
                <w:sz w:val="26"/>
              </w:rPr>
            </w:pPr>
          </w:p>
          <w:p w14:paraId="6B129EBF" w14:textId="77777777" w:rsidR="000B69C8" w:rsidRDefault="000B69C8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4460F6E7" w14:textId="77777777" w:rsidR="000B69C8" w:rsidRDefault="008D2090">
            <w:pPr>
              <w:pStyle w:val="TableParagraph"/>
              <w:spacing w:before="1"/>
              <w:ind w:left="76" w:right="2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päť najlepších miest z hľadiska objemu (zostupné poradie )</w:t>
            </w:r>
          </w:p>
        </w:tc>
        <w:tc>
          <w:tcPr>
            <w:tcW w:w="1844" w:type="dxa"/>
          </w:tcPr>
          <w:p w14:paraId="56ECDCF3" w14:textId="77777777" w:rsidR="000B69C8" w:rsidRDefault="008D2090">
            <w:pPr>
              <w:pStyle w:val="TableParagraph"/>
              <w:ind w:left="73" w:right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podiel vykonaného objemu ako percento celkového objemu v danej</w:t>
            </w:r>
          </w:p>
          <w:p w14:paraId="57E538BB" w14:textId="77777777" w:rsidR="000B69C8" w:rsidRDefault="008D2090">
            <w:pPr>
              <w:pStyle w:val="TableParagraph"/>
              <w:spacing w:line="257" w:lineRule="exact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triede</w:t>
            </w:r>
          </w:p>
        </w:tc>
        <w:tc>
          <w:tcPr>
            <w:tcW w:w="1844" w:type="dxa"/>
          </w:tcPr>
          <w:p w14:paraId="0FBE51B3" w14:textId="77777777" w:rsidR="000B69C8" w:rsidRDefault="008D2090">
            <w:pPr>
              <w:pStyle w:val="TableParagraph"/>
              <w:spacing w:before="133"/>
              <w:ind w:left="73" w:right="4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podiel vykonaných pokynov ako percento</w:t>
            </w:r>
          </w:p>
          <w:p w14:paraId="13510BDC" w14:textId="77777777" w:rsidR="000B69C8" w:rsidRDefault="008D2090">
            <w:pPr>
              <w:pStyle w:val="TableParagraph"/>
              <w:spacing w:before="1"/>
              <w:ind w:left="73" w:righ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celkového počtu v danej triede</w:t>
            </w:r>
          </w:p>
        </w:tc>
        <w:tc>
          <w:tcPr>
            <w:tcW w:w="1560" w:type="dxa"/>
          </w:tcPr>
          <w:p w14:paraId="2740A382" w14:textId="77777777" w:rsidR="000B69C8" w:rsidRDefault="000B69C8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14:paraId="75CD689F" w14:textId="77777777" w:rsidR="000B69C8" w:rsidRDefault="008D2090">
            <w:pPr>
              <w:pStyle w:val="TableParagraph"/>
              <w:spacing w:before="1"/>
              <w:ind w:left="73" w:righ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percentuálny podiel pasívnych pokynov</w:t>
            </w:r>
          </w:p>
        </w:tc>
        <w:tc>
          <w:tcPr>
            <w:tcW w:w="1407" w:type="dxa"/>
          </w:tcPr>
          <w:p w14:paraId="64339704" w14:textId="77777777" w:rsidR="000B69C8" w:rsidRDefault="000B69C8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14:paraId="2A356D04" w14:textId="77777777" w:rsidR="000B69C8" w:rsidRDefault="008D2090">
            <w:pPr>
              <w:pStyle w:val="TableParagraph"/>
              <w:spacing w:before="1"/>
              <w:ind w:left="73" w:right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percentuálny podiel agresívnych pokynov</w:t>
            </w:r>
          </w:p>
        </w:tc>
        <w:tc>
          <w:tcPr>
            <w:tcW w:w="1649" w:type="dxa"/>
          </w:tcPr>
          <w:p w14:paraId="5EA3EFE5" w14:textId="77777777" w:rsidR="000B69C8" w:rsidRDefault="000B69C8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14:paraId="5236FBEF" w14:textId="77777777" w:rsidR="000B69C8" w:rsidRDefault="008D2090">
            <w:pPr>
              <w:pStyle w:val="TableParagraph"/>
              <w:spacing w:before="1"/>
              <w:ind w:left="73"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percentuálny podiel nasmerovaných pokynov</w:t>
            </w:r>
          </w:p>
        </w:tc>
      </w:tr>
      <w:tr w:rsidR="000B69C8" w14:paraId="2796251E" w14:textId="77777777">
        <w:trPr>
          <w:trHeight w:val="551"/>
        </w:trPr>
        <w:tc>
          <w:tcPr>
            <w:tcW w:w="3404" w:type="dxa"/>
            <w:tcBorders>
              <w:left w:val="single" w:sz="8" w:space="0" w:color="000000"/>
            </w:tcBorders>
          </w:tcPr>
          <w:p w14:paraId="1CD25438" w14:textId="46430A5C" w:rsidR="000B69C8" w:rsidRDefault="00527283">
            <w:pPr>
              <w:pStyle w:val="TableParagraph"/>
              <w:spacing w:before="2" w:line="276" w:lineRule="exact"/>
              <w:ind w:left="71" w:right="298"/>
              <w:rPr>
                <w:rFonts w:ascii="Times New Roman" w:hAnsi="Times New Roman"/>
                <w:sz w:val="24"/>
              </w:rPr>
            </w:pPr>
            <w:r w:rsidRPr="00527283">
              <w:rPr>
                <w:rFonts w:ascii="Times New Roman" w:hAnsi="Times New Roman"/>
                <w:sz w:val="24"/>
              </w:rPr>
              <w:t xml:space="preserve">Realitný o. p. f.  </w:t>
            </w:r>
            <w:r w:rsidR="008D2090">
              <w:rPr>
                <w:rFonts w:ascii="Times New Roman" w:hAnsi="Times New Roman"/>
                <w:sz w:val="24"/>
              </w:rPr>
              <w:t>(</w:t>
            </w:r>
            <w:r w:rsidR="00D96D67" w:rsidRPr="00D96D67">
              <w:rPr>
                <w:rFonts w:ascii="Times New Roman" w:hAnsi="Times New Roman"/>
                <w:sz w:val="24"/>
              </w:rPr>
              <w:t>31570020000000000274</w:t>
            </w:r>
            <w:r w:rsidR="008D20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4" w:type="dxa"/>
          </w:tcPr>
          <w:p w14:paraId="4BF5AC14" w14:textId="6A008DD1" w:rsidR="000B69C8" w:rsidRDefault="008D2090" w:rsidP="00156C49">
            <w:pPr>
              <w:pStyle w:val="TableParagraph"/>
              <w:spacing w:before="138"/>
              <w:ind w:left="300" w:right="4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100,00</w:t>
            </w:r>
            <w:r w:rsidR="00156C49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844" w:type="dxa"/>
          </w:tcPr>
          <w:p w14:paraId="2AD75CE6" w14:textId="444A1B27" w:rsidR="000B69C8" w:rsidRDefault="008D2090" w:rsidP="00156C49">
            <w:pPr>
              <w:pStyle w:val="TableParagraph"/>
              <w:spacing w:before="138"/>
              <w:ind w:left="436" w:right="4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100,00</w:t>
            </w:r>
            <w:r w:rsidR="00156C49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560" w:type="dxa"/>
          </w:tcPr>
          <w:p w14:paraId="2313B108" w14:textId="77777777" w:rsidR="000B69C8" w:rsidRDefault="008D2090">
            <w:pPr>
              <w:pStyle w:val="TableParagraph"/>
              <w:spacing w:before="138"/>
              <w:ind w:right="7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457B52B4" w14:textId="77777777" w:rsidR="000B69C8" w:rsidRDefault="008D2090">
            <w:pPr>
              <w:pStyle w:val="TableParagraph"/>
              <w:spacing w:before="138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27209238" w14:textId="77777777" w:rsidR="000B69C8" w:rsidRDefault="008D2090">
            <w:pPr>
              <w:pStyle w:val="TableParagraph"/>
              <w:spacing w:before="1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0B69C8" w14:paraId="5F627A3F" w14:textId="77777777">
        <w:trPr>
          <w:trHeight w:val="343"/>
        </w:trPr>
        <w:tc>
          <w:tcPr>
            <w:tcW w:w="3404" w:type="dxa"/>
          </w:tcPr>
          <w:p w14:paraId="461AC145" w14:textId="77777777" w:rsidR="000B69C8" w:rsidRDefault="008D2090">
            <w:pPr>
              <w:pStyle w:val="TableParagraph"/>
              <w:spacing w:before="32"/>
              <w:ind w:right="16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0B7557F3" w14:textId="77777777" w:rsidR="000B69C8" w:rsidRDefault="008D2090">
            <w:pPr>
              <w:pStyle w:val="TableParagraph"/>
              <w:spacing w:before="32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2FBBBDA0" w14:textId="77777777" w:rsidR="000B69C8" w:rsidRDefault="008D2090">
            <w:pPr>
              <w:pStyle w:val="TableParagraph"/>
              <w:spacing w:before="32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14:paraId="50666D61" w14:textId="77777777" w:rsidR="000B69C8" w:rsidRDefault="008D2090">
            <w:pPr>
              <w:pStyle w:val="TableParagraph"/>
              <w:spacing w:before="32"/>
              <w:ind w:right="7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47EFC4E" w14:textId="77777777" w:rsidR="000B69C8" w:rsidRDefault="008D2090">
            <w:pPr>
              <w:pStyle w:val="TableParagraph"/>
              <w:spacing w:before="32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16A1FC8D" w14:textId="77777777" w:rsidR="000B69C8" w:rsidRDefault="008D2090">
            <w:pPr>
              <w:pStyle w:val="TableParagraph"/>
              <w:spacing w:before="32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0B69C8" w14:paraId="093AAFDF" w14:textId="77777777">
        <w:trPr>
          <w:trHeight w:val="345"/>
        </w:trPr>
        <w:tc>
          <w:tcPr>
            <w:tcW w:w="3404" w:type="dxa"/>
          </w:tcPr>
          <w:p w14:paraId="5FF8B899" w14:textId="77777777" w:rsidR="000B69C8" w:rsidRDefault="008D2090">
            <w:pPr>
              <w:pStyle w:val="TableParagraph"/>
              <w:spacing w:before="35"/>
              <w:ind w:right="16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63CEAD22" w14:textId="77777777" w:rsidR="000B69C8" w:rsidRDefault="008D2090">
            <w:pPr>
              <w:pStyle w:val="TableParagraph"/>
              <w:spacing w:before="35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0AD4CC3E" w14:textId="77777777" w:rsidR="000B69C8" w:rsidRDefault="008D2090">
            <w:pPr>
              <w:pStyle w:val="TableParagraph"/>
              <w:spacing w:before="35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14:paraId="20AC26AA" w14:textId="77777777" w:rsidR="000B69C8" w:rsidRDefault="008D2090">
            <w:pPr>
              <w:pStyle w:val="TableParagraph"/>
              <w:spacing w:before="35"/>
              <w:ind w:right="7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7540DD2" w14:textId="77777777" w:rsidR="000B69C8" w:rsidRDefault="008D2090">
            <w:pPr>
              <w:pStyle w:val="TableParagraph"/>
              <w:spacing w:before="35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3EA2DE65" w14:textId="77777777" w:rsidR="000B69C8" w:rsidRDefault="008D2090">
            <w:pPr>
              <w:pStyle w:val="TableParagraph"/>
              <w:spacing w:before="35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</w:tbl>
    <w:p w14:paraId="2B79B60F" w14:textId="77777777" w:rsidR="000B69C8" w:rsidRDefault="000B69C8">
      <w:pPr>
        <w:pStyle w:val="Zkladntext"/>
        <w:spacing w:before="8"/>
        <w:rPr>
          <w:sz w:val="34"/>
        </w:rPr>
      </w:pPr>
    </w:p>
    <w:p w14:paraId="14FA43B0" w14:textId="77777777" w:rsidR="00F541E8" w:rsidRDefault="00F541E8">
      <w:pPr>
        <w:pStyle w:val="Zkladntext"/>
        <w:spacing w:before="8"/>
        <w:rPr>
          <w:sz w:val="34"/>
        </w:rPr>
      </w:pPr>
    </w:p>
    <w:p w14:paraId="7ED10DC5" w14:textId="77777777" w:rsidR="00F541E8" w:rsidRDefault="00F541E8">
      <w:pPr>
        <w:pStyle w:val="Zkladntext"/>
        <w:spacing w:before="8"/>
        <w:rPr>
          <w:sz w:val="34"/>
        </w:rPr>
      </w:pPr>
    </w:p>
    <w:p w14:paraId="651F7D00" w14:textId="77777777" w:rsidR="00F541E8" w:rsidRDefault="00F541E8">
      <w:pPr>
        <w:pStyle w:val="Zkladntext"/>
        <w:spacing w:before="8"/>
        <w:rPr>
          <w:sz w:val="34"/>
        </w:rPr>
      </w:pPr>
    </w:p>
    <w:p w14:paraId="3F3B21D6" w14:textId="77777777" w:rsidR="00F541E8" w:rsidRDefault="00F541E8">
      <w:pPr>
        <w:pStyle w:val="Zkladntext"/>
        <w:spacing w:before="8"/>
        <w:rPr>
          <w:sz w:val="34"/>
        </w:rPr>
      </w:pPr>
    </w:p>
    <w:p w14:paraId="134B34D8" w14:textId="77777777" w:rsidR="00F541E8" w:rsidRDefault="00F541E8">
      <w:pPr>
        <w:pStyle w:val="Zkladntext"/>
        <w:spacing w:before="8"/>
        <w:rPr>
          <w:sz w:val="34"/>
        </w:rPr>
      </w:pPr>
    </w:p>
    <w:p w14:paraId="23FEA5A5" w14:textId="77777777" w:rsidR="00F541E8" w:rsidRDefault="00F541E8">
      <w:pPr>
        <w:pStyle w:val="Zkladntext"/>
        <w:spacing w:before="8"/>
        <w:rPr>
          <w:sz w:val="34"/>
        </w:rPr>
      </w:pPr>
    </w:p>
    <w:p w14:paraId="68E823E3" w14:textId="77777777" w:rsidR="00F541E8" w:rsidRDefault="00F541E8">
      <w:pPr>
        <w:pStyle w:val="Zkladntext"/>
        <w:spacing w:before="8"/>
        <w:rPr>
          <w:sz w:val="34"/>
        </w:rPr>
      </w:pPr>
    </w:p>
    <w:p w14:paraId="50AE7AA8" w14:textId="77777777" w:rsidR="00F541E8" w:rsidRDefault="00F541E8">
      <w:pPr>
        <w:pStyle w:val="Zkladntext"/>
        <w:spacing w:before="8"/>
        <w:rPr>
          <w:sz w:val="34"/>
        </w:rPr>
      </w:pPr>
    </w:p>
    <w:p w14:paraId="12F8291D" w14:textId="0F0E2B6C" w:rsidR="00F541E8" w:rsidRDefault="00F541E8" w:rsidP="00F541E8">
      <w:pPr>
        <w:pStyle w:val="Odsekzoznamu"/>
        <w:numPr>
          <w:ilvl w:val="0"/>
          <w:numId w:val="1"/>
        </w:numPr>
      </w:pPr>
      <w:r>
        <w:lastRenderedPageBreak/>
        <w:t>CFD – rozdielové zmluvy</w:t>
      </w:r>
    </w:p>
    <w:p w14:paraId="4EA9D563" w14:textId="77777777" w:rsidR="00F541E8" w:rsidRDefault="00F541E8" w:rsidP="00F541E8">
      <w:pPr>
        <w:pStyle w:val="Odsekzoznamu"/>
        <w:ind w:firstLine="0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844"/>
        <w:gridCol w:w="1844"/>
        <w:gridCol w:w="1560"/>
        <w:gridCol w:w="1407"/>
        <w:gridCol w:w="1649"/>
      </w:tblGrid>
      <w:tr w:rsidR="00F541E8" w14:paraId="219583A8" w14:textId="77777777" w:rsidTr="00CA3620">
        <w:trPr>
          <w:trHeight w:val="275"/>
        </w:trPr>
        <w:tc>
          <w:tcPr>
            <w:tcW w:w="3404" w:type="dxa"/>
          </w:tcPr>
          <w:p w14:paraId="7CCC3AD3" w14:textId="77777777" w:rsidR="00F541E8" w:rsidRDefault="00F541E8" w:rsidP="00CA3620">
            <w:pPr>
              <w:pStyle w:val="TableParagraph"/>
              <w:spacing w:line="256" w:lineRule="exact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Trieda nástroja</w:t>
            </w:r>
          </w:p>
        </w:tc>
        <w:tc>
          <w:tcPr>
            <w:tcW w:w="8304" w:type="dxa"/>
            <w:gridSpan w:val="5"/>
          </w:tcPr>
          <w:p w14:paraId="41F9A757" w14:textId="77777777" w:rsidR="00F541E8" w:rsidRDefault="00F541E8" w:rsidP="00CA3620">
            <w:pPr>
              <w:pStyle w:val="TableParagraph"/>
              <w:spacing w:line="256" w:lineRule="exact"/>
              <w:ind w:left="2577" w:right="256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Iné produkty</w:t>
            </w:r>
          </w:p>
        </w:tc>
      </w:tr>
      <w:tr w:rsidR="00F541E8" w14:paraId="34873281" w14:textId="77777777" w:rsidTr="00CA3620">
        <w:trPr>
          <w:trHeight w:val="827"/>
        </w:trPr>
        <w:tc>
          <w:tcPr>
            <w:tcW w:w="3404" w:type="dxa"/>
          </w:tcPr>
          <w:p w14:paraId="7FE88FB5" w14:textId="77777777" w:rsidR="00F541E8" w:rsidRDefault="00F541E8" w:rsidP="00CA3620">
            <w:pPr>
              <w:pStyle w:val="TableParagraph"/>
              <w:spacing w:before="2" w:line="276" w:lineRule="exact"/>
              <w:ind w:left="76" w:righ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oznámenie, ak v priemere &lt;1 obchod za pracovný deň v predchádzajúcom roku</w:t>
            </w:r>
          </w:p>
        </w:tc>
        <w:tc>
          <w:tcPr>
            <w:tcW w:w="8304" w:type="dxa"/>
            <w:gridSpan w:val="5"/>
          </w:tcPr>
          <w:p w14:paraId="17DDFE21" w14:textId="77777777" w:rsidR="00F541E8" w:rsidRDefault="00F541E8" w:rsidP="00CA3620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A6AF6B4" w14:textId="77777777" w:rsidR="00F541E8" w:rsidRDefault="00F541E8" w:rsidP="00CA3620">
            <w:pPr>
              <w:pStyle w:val="TableParagraph"/>
              <w:ind w:left="2577" w:right="25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NIE</w:t>
            </w:r>
          </w:p>
        </w:tc>
      </w:tr>
      <w:tr w:rsidR="00F541E8" w14:paraId="7D24E79D" w14:textId="77777777" w:rsidTr="00CA3620">
        <w:trPr>
          <w:trHeight w:val="1930"/>
        </w:trPr>
        <w:tc>
          <w:tcPr>
            <w:tcW w:w="3404" w:type="dxa"/>
          </w:tcPr>
          <w:p w14:paraId="41A953E8" w14:textId="77777777" w:rsidR="00F541E8" w:rsidRDefault="00F541E8" w:rsidP="00CA3620">
            <w:pPr>
              <w:pStyle w:val="TableParagraph"/>
              <w:rPr>
                <w:rFonts w:ascii="Times New Roman"/>
                <w:sz w:val="26"/>
              </w:rPr>
            </w:pPr>
          </w:p>
          <w:p w14:paraId="1804CB58" w14:textId="77777777" w:rsidR="00F541E8" w:rsidRDefault="00F541E8" w:rsidP="00CA3620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0AF99D34" w14:textId="77777777" w:rsidR="00F541E8" w:rsidRDefault="00F541E8" w:rsidP="00CA3620">
            <w:pPr>
              <w:pStyle w:val="TableParagraph"/>
              <w:spacing w:before="1"/>
              <w:ind w:left="76" w:right="2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päť najlepších miest z hľadiska objemu (zostupné poradie )</w:t>
            </w:r>
          </w:p>
        </w:tc>
        <w:tc>
          <w:tcPr>
            <w:tcW w:w="1844" w:type="dxa"/>
          </w:tcPr>
          <w:p w14:paraId="25108A24" w14:textId="77777777" w:rsidR="00F541E8" w:rsidRDefault="00F541E8" w:rsidP="00CA3620">
            <w:pPr>
              <w:pStyle w:val="TableParagraph"/>
              <w:ind w:left="73" w:right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podiel vykonaného objemu ako percento celkového objemu v danej</w:t>
            </w:r>
          </w:p>
          <w:p w14:paraId="06904E0A" w14:textId="77777777" w:rsidR="00F541E8" w:rsidRDefault="00F541E8" w:rsidP="00CA3620">
            <w:pPr>
              <w:pStyle w:val="TableParagraph"/>
              <w:spacing w:line="257" w:lineRule="exact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triede</w:t>
            </w:r>
          </w:p>
        </w:tc>
        <w:tc>
          <w:tcPr>
            <w:tcW w:w="1844" w:type="dxa"/>
          </w:tcPr>
          <w:p w14:paraId="690E89A2" w14:textId="77777777" w:rsidR="00F541E8" w:rsidRDefault="00F541E8" w:rsidP="00CA3620">
            <w:pPr>
              <w:pStyle w:val="TableParagraph"/>
              <w:spacing w:before="133"/>
              <w:ind w:left="73" w:right="4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podiel vykonaných pokynov ako percento</w:t>
            </w:r>
          </w:p>
          <w:p w14:paraId="6DC2E7F0" w14:textId="77777777" w:rsidR="00F541E8" w:rsidRDefault="00F541E8" w:rsidP="00CA3620">
            <w:pPr>
              <w:pStyle w:val="TableParagraph"/>
              <w:spacing w:before="1"/>
              <w:ind w:left="73" w:righ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celkového počtu v danej triede</w:t>
            </w:r>
          </w:p>
        </w:tc>
        <w:tc>
          <w:tcPr>
            <w:tcW w:w="1560" w:type="dxa"/>
          </w:tcPr>
          <w:p w14:paraId="6948C517" w14:textId="77777777" w:rsidR="00F541E8" w:rsidRDefault="00F541E8" w:rsidP="00CA3620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14:paraId="27BDFA91" w14:textId="77777777" w:rsidR="00F541E8" w:rsidRDefault="00F541E8" w:rsidP="00CA3620">
            <w:pPr>
              <w:pStyle w:val="TableParagraph"/>
              <w:spacing w:before="1"/>
              <w:ind w:left="73" w:righ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percentuálny podiel pasívnych pokynov</w:t>
            </w:r>
          </w:p>
        </w:tc>
        <w:tc>
          <w:tcPr>
            <w:tcW w:w="1407" w:type="dxa"/>
          </w:tcPr>
          <w:p w14:paraId="3E426624" w14:textId="77777777" w:rsidR="00F541E8" w:rsidRDefault="00F541E8" w:rsidP="00CA3620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14:paraId="14554846" w14:textId="77777777" w:rsidR="00F541E8" w:rsidRDefault="00F541E8" w:rsidP="00CA3620">
            <w:pPr>
              <w:pStyle w:val="TableParagraph"/>
              <w:spacing w:before="1"/>
              <w:ind w:left="73" w:right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percentuálny podiel agresívnych pokynov</w:t>
            </w:r>
          </w:p>
        </w:tc>
        <w:tc>
          <w:tcPr>
            <w:tcW w:w="1649" w:type="dxa"/>
          </w:tcPr>
          <w:p w14:paraId="26C26D10" w14:textId="77777777" w:rsidR="00F541E8" w:rsidRDefault="00F541E8" w:rsidP="00CA3620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14:paraId="0BDECB2B" w14:textId="77777777" w:rsidR="00F541E8" w:rsidRDefault="00F541E8" w:rsidP="00CA3620">
            <w:pPr>
              <w:pStyle w:val="TableParagraph"/>
              <w:spacing w:before="1"/>
              <w:ind w:left="73" w:righ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percentuálny podiel nasmerovaných pokynov</w:t>
            </w:r>
          </w:p>
        </w:tc>
      </w:tr>
      <w:tr w:rsidR="00F541E8" w14:paraId="1E219CC1" w14:textId="77777777" w:rsidTr="00CA3620">
        <w:trPr>
          <w:trHeight w:val="551"/>
        </w:trPr>
        <w:tc>
          <w:tcPr>
            <w:tcW w:w="3404" w:type="dxa"/>
            <w:tcBorders>
              <w:left w:val="single" w:sz="8" w:space="0" w:color="000000"/>
            </w:tcBorders>
          </w:tcPr>
          <w:p w14:paraId="0BD67EAE" w14:textId="489E1AB3" w:rsidR="00F541E8" w:rsidRDefault="00F541E8" w:rsidP="00CA3620">
            <w:pPr>
              <w:pStyle w:val="TableParagraph"/>
              <w:spacing w:before="2" w:line="276" w:lineRule="exact"/>
              <w:ind w:left="71" w:right="2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I.F. </w:t>
            </w:r>
            <w:proofErr w:type="spellStart"/>
            <w:r>
              <w:rPr>
                <w:rFonts w:ascii="Times New Roman" w:hAnsi="Times New Roman"/>
                <w:sz w:val="24"/>
              </w:rPr>
              <w:t>Greenfields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Wealth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LTD</w:t>
            </w:r>
            <w:r w:rsidRPr="00527283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F541E8">
              <w:rPr>
                <w:rFonts w:ascii="Times New Roman" w:hAnsi="Times New Roman"/>
                <w:sz w:val="24"/>
              </w:rPr>
              <w:t>2138006O8D7SV36PWU16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4" w:type="dxa"/>
          </w:tcPr>
          <w:p w14:paraId="3EC68A70" w14:textId="213A252B" w:rsidR="00F541E8" w:rsidRDefault="0079385B" w:rsidP="00CA3620">
            <w:pPr>
              <w:pStyle w:val="TableParagraph"/>
              <w:spacing w:before="138"/>
              <w:ind w:left="300" w:right="4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2,57</w:t>
            </w:r>
            <w:r w:rsidR="00F541E8">
              <w:rPr>
                <w:rFonts w:ascii="Times New Roman"/>
                <w:sz w:val="24"/>
              </w:rPr>
              <w:t xml:space="preserve"> %</w:t>
            </w:r>
          </w:p>
        </w:tc>
        <w:tc>
          <w:tcPr>
            <w:tcW w:w="1844" w:type="dxa"/>
          </w:tcPr>
          <w:p w14:paraId="61B9D17D" w14:textId="2248EFC7" w:rsidR="00F541E8" w:rsidRDefault="0079385B" w:rsidP="00CA3620">
            <w:pPr>
              <w:pStyle w:val="TableParagraph"/>
              <w:spacing w:before="138"/>
              <w:ind w:left="436" w:right="4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1,78</w:t>
            </w:r>
            <w:r w:rsidR="00F541E8">
              <w:rPr>
                <w:rFonts w:ascii="Times New Roman"/>
                <w:sz w:val="24"/>
              </w:rPr>
              <w:t xml:space="preserve"> %</w:t>
            </w:r>
          </w:p>
        </w:tc>
        <w:tc>
          <w:tcPr>
            <w:tcW w:w="1560" w:type="dxa"/>
          </w:tcPr>
          <w:p w14:paraId="30A68A58" w14:textId="77777777" w:rsidR="00F541E8" w:rsidRDefault="00F541E8" w:rsidP="00CA3620">
            <w:pPr>
              <w:pStyle w:val="TableParagraph"/>
              <w:spacing w:before="138"/>
              <w:ind w:right="7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01614F5" w14:textId="77777777" w:rsidR="00F541E8" w:rsidRDefault="00F541E8" w:rsidP="00CA3620">
            <w:pPr>
              <w:pStyle w:val="TableParagraph"/>
              <w:spacing w:before="138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6A2EBD50" w14:textId="77777777" w:rsidR="00F541E8" w:rsidRDefault="00F541E8" w:rsidP="00CA3620">
            <w:pPr>
              <w:pStyle w:val="TableParagraph"/>
              <w:spacing w:before="1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F541E8" w14:paraId="7EFB9FDC" w14:textId="77777777" w:rsidTr="00CA3620">
        <w:trPr>
          <w:trHeight w:val="343"/>
        </w:trPr>
        <w:tc>
          <w:tcPr>
            <w:tcW w:w="3404" w:type="dxa"/>
          </w:tcPr>
          <w:p w14:paraId="0A874E71" w14:textId="14381038" w:rsidR="00F541E8" w:rsidRDefault="00F541E8" w:rsidP="0079385B">
            <w:pPr>
              <w:pStyle w:val="TableParagraph"/>
              <w:spacing w:before="3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79385B">
              <w:rPr>
                <w:rFonts w:ascii="Times New Roman"/>
                <w:w w:val="99"/>
                <w:sz w:val="24"/>
              </w:rPr>
              <w:t>CAPE CAPITAL GROUP (PTY) LTD. (</w:t>
            </w:r>
            <w:r w:rsidR="0079385B" w:rsidRPr="0079385B">
              <w:rPr>
                <w:rFonts w:ascii="Times New Roman"/>
                <w:w w:val="99"/>
                <w:sz w:val="24"/>
              </w:rPr>
              <w:t>9845000P4S7OAY10DT27</w:t>
            </w:r>
            <w:r w:rsidR="0079385B">
              <w:rPr>
                <w:rFonts w:ascii="Times New Roman"/>
                <w:w w:val="99"/>
                <w:sz w:val="24"/>
              </w:rPr>
              <w:t>)</w:t>
            </w:r>
          </w:p>
        </w:tc>
        <w:tc>
          <w:tcPr>
            <w:tcW w:w="1844" w:type="dxa"/>
          </w:tcPr>
          <w:p w14:paraId="03D8EC9E" w14:textId="4F0FABD9" w:rsidR="00F541E8" w:rsidRDefault="0079385B" w:rsidP="0079385B">
            <w:pPr>
              <w:pStyle w:val="TableParagraph"/>
              <w:spacing w:before="32"/>
              <w:ind w:left="17" w:hanging="15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97,43 %</w:t>
            </w:r>
          </w:p>
        </w:tc>
        <w:tc>
          <w:tcPr>
            <w:tcW w:w="1844" w:type="dxa"/>
          </w:tcPr>
          <w:p w14:paraId="33FA1947" w14:textId="015DFCE3" w:rsidR="00F541E8" w:rsidRDefault="0079385B" w:rsidP="00CA3620">
            <w:pPr>
              <w:pStyle w:val="TableParagraph"/>
              <w:spacing w:before="32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98,22 %</w:t>
            </w:r>
          </w:p>
        </w:tc>
        <w:tc>
          <w:tcPr>
            <w:tcW w:w="1560" w:type="dxa"/>
          </w:tcPr>
          <w:p w14:paraId="1CA89542" w14:textId="77777777" w:rsidR="00F541E8" w:rsidRDefault="00F541E8" w:rsidP="00CA3620">
            <w:pPr>
              <w:pStyle w:val="TableParagraph"/>
              <w:spacing w:before="32"/>
              <w:ind w:right="7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A72BE00" w14:textId="77777777" w:rsidR="00F541E8" w:rsidRDefault="00F541E8" w:rsidP="00CA3620">
            <w:pPr>
              <w:pStyle w:val="TableParagraph"/>
              <w:spacing w:before="32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6EEFC23D" w14:textId="77777777" w:rsidR="00F541E8" w:rsidRDefault="00F541E8" w:rsidP="00CA3620">
            <w:pPr>
              <w:pStyle w:val="TableParagraph"/>
              <w:spacing w:before="32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F541E8" w14:paraId="0CEDCD74" w14:textId="77777777" w:rsidTr="00CA3620">
        <w:trPr>
          <w:trHeight w:val="345"/>
        </w:trPr>
        <w:tc>
          <w:tcPr>
            <w:tcW w:w="3404" w:type="dxa"/>
          </w:tcPr>
          <w:p w14:paraId="1630A4F3" w14:textId="77777777" w:rsidR="00F541E8" w:rsidRDefault="00F541E8" w:rsidP="00CA3620">
            <w:pPr>
              <w:pStyle w:val="TableParagraph"/>
              <w:spacing w:before="35"/>
              <w:ind w:right="16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6334B2A7" w14:textId="77777777" w:rsidR="00F541E8" w:rsidRDefault="00F541E8" w:rsidP="00CA3620">
            <w:pPr>
              <w:pStyle w:val="TableParagraph"/>
              <w:spacing w:before="35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14:paraId="77B6893B" w14:textId="77777777" w:rsidR="00F541E8" w:rsidRDefault="00F541E8" w:rsidP="00CA3620">
            <w:pPr>
              <w:pStyle w:val="TableParagraph"/>
              <w:spacing w:before="35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14:paraId="30BB9119" w14:textId="77777777" w:rsidR="00F541E8" w:rsidRDefault="00F541E8" w:rsidP="00CA3620">
            <w:pPr>
              <w:pStyle w:val="TableParagraph"/>
              <w:spacing w:before="35"/>
              <w:ind w:right="7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26BA3EE1" w14:textId="77777777" w:rsidR="00F541E8" w:rsidRDefault="00F541E8" w:rsidP="00CA3620">
            <w:pPr>
              <w:pStyle w:val="TableParagraph"/>
              <w:spacing w:before="35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49" w:type="dxa"/>
          </w:tcPr>
          <w:p w14:paraId="520B0C90" w14:textId="77777777" w:rsidR="00F541E8" w:rsidRDefault="00F541E8" w:rsidP="00CA3620">
            <w:pPr>
              <w:pStyle w:val="TableParagraph"/>
              <w:spacing w:before="35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</w:tbl>
    <w:p w14:paraId="1B4A7234" w14:textId="77777777" w:rsidR="00F541E8" w:rsidRDefault="00F541E8" w:rsidP="00F541E8">
      <w:pPr>
        <w:pStyle w:val="Odsekzoznamu"/>
        <w:ind w:firstLine="0"/>
      </w:pPr>
    </w:p>
    <w:p w14:paraId="774A3231" w14:textId="77777777" w:rsidR="000B69C8" w:rsidRDefault="008D2090" w:rsidP="000C7198">
      <w:pPr>
        <w:pStyle w:val="Nadpis1"/>
        <w:numPr>
          <w:ilvl w:val="0"/>
          <w:numId w:val="2"/>
        </w:numPr>
        <w:tabs>
          <w:tab w:val="left" w:pos="1894"/>
        </w:tabs>
        <w:spacing w:before="1" w:line="276" w:lineRule="auto"/>
        <w:ind w:left="1893" w:hanging="421"/>
        <w:jc w:val="both"/>
      </w:pPr>
      <w:r>
        <w:t>Informácie o dosiahnutej kvalite</w:t>
      </w:r>
      <w:r>
        <w:rPr>
          <w:spacing w:val="-4"/>
        </w:rPr>
        <w:t xml:space="preserve"> </w:t>
      </w:r>
      <w:r>
        <w:t>vykonávania</w:t>
      </w:r>
    </w:p>
    <w:p w14:paraId="3D5B4753" w14:textId="553B1C83" w:rsidR="000C7198" w:rsidRDefault="008D2090" w:rsidP="00CA10B1">
      <w:pPr>
        <w:pStyle w:val="Zkladntext"/>
        <w:spacing w:before="61" w:line="276" w:lineRule="auto"/>
        <w:ind w:left="1112" w:right="1390"/>
        <w:jc w:val="both"/>
      </w:pPr>
      <w:r>
        <w:t>Stratégiou vykonávania pokynov - Spoločnosť vykonáva na základe vopred zvolených kritérií monitorovanie a vyhodnocovanie kvality a cien služieb vykonávania pokynov v pravidelných ročných intervaloch, pričom je pravidelne monitorovaná a vyhodnocovaná najmä kvalita vykonania a vysporiadania zrealizovaných transakcií. Na základe tohto monitorovania a</w:t>
      </w:r>
      <w:r w:rsidR="00284A2B">
        <w:t> </w:t>
      </w:r>
      <w:r>
        <w:t>vyhodnocovania Spoločnosť v prípade potreby Stratégiu vykonávania pokynov</w:t>
      </w:r>
      <w:r>
        <w:rPr>
          <w:spacing w:val="27"/>
        </w:rPr>
        <w:t xml:space="preserve"> </w:t>
      </w:r>
      <w:r>
        <w:t>primerane</w:t>
      </w:r>
      <w:r w:rsidR="000C7198">
        <w:t xml:space="preserve"> aktualizuje. Aktuálne platná Stratégia vykonávania pokynov nadobudla platnosť a účinnosť dňa 03.01.2018.</w:t>
      </w:r>
    </w:p>
    <w:p w14:paraId="74746C59" w14:textId="71CC13F1" w:rsidR="000B69C8" w:rsidRDefault="000B69C8" w:rsidP="000C7198">
      <w:pPr>
        <w:pStyle w:val="Zkladntext"/>
        <w:spacing w:before="136" w:line="276" w:lineRule="auto"/>
        <w:ind w:left="1112" w:right="1426" w:firstLine="360"/>
        <w:jc w:val="both"/>
      </w:pPr>
    </w:p>
    <w:p w14:paraId="316D7790" w14:textId="77777777" w:rsidR="000B69C8" w:rsidRDefault="000B69C8" w:rsidP="000C7198">
      <w:pPr>
        <w:spacing w:line="276" w:lineRule="auto"/>
        <w:jc w:val="both"/>
        <w:sectPr w:rsidR="000B69C8" w:rsidSect="000C7198">
          <w:pgSz w:w="11900" w:h="16840"/>
          <w:pgMar w:top="1276" w:right="0" w:bottom="560" w:left="20" w:header="0" w:footer="363" w:gutter="0"/>
          <w:cols w:space="708"/>
        </w:sectPr>
      </w:pPr>
    </w:p>
    <w:p w14:paraId="65ACC12B" w14:textId="3EF4341A" w:rsidR="000B69C8" w:rsidRDefault="008D2090" w:rsidP="000C7198">
      <w:pPr>
        <w:pStyle w:val="Zkladntext"/>
        <w:spacing w:line="276" w:lineRule="auto"/>
        <w:ind w:left="1112" w:right="1390"/>
        <w:jc w:val="both"/>
      </w:pPr>
      <w:r>
        <w:lastRenderedPageBreak/>
        <w:t>Na základe informácií uvedených v tomto dokumente Spoločnosť aktuálne platnú a účinnú Stratégiu vykonávania pokynov nepovažuje za potrebné aktualizovať.</w:t>
      </w:r>
    </w:p>
    <w:p w14:paraId="397F9520" w14:textId="77777777" w:rsidR="000C7198" w:rsidRDefault="000C7198" w:rsidP="000C7198">
      <w:pPr>
        <w:pStyle w:val="Zkladntext"/>
        <w:spacing w:line="276" w:lineRule="auto"/>
        <w:ind w:left="1112" w:right="1390"/>
        <w:jc w:val="both"/>
      </w:pPr>
    </w:p>
    <w:tbl>
      <w:tblPr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5850"/>
      </w:tblGrid>
      <w:tr w:rsidR="000B69C8" w14:paraId="305CDAC2" w14:textId="77777777" w:rsidTr="00104C40">
        <w:trPr>
          <w:trHeight w:val="537"/>
        </w:trPr>
        <w:tc>
          <w:tcPr>
            <w:tcW w:w="10452" w:type="dxa"/>
            <w:gridSpan w:val="2"/>
            <w:shd w:val="clear" w:color="auto" w:fill="808080"/>
            <w:vAlign w:val="center"/>
          </w:tcPr>
          <w:p w14:paraId="2F7B82FC" w14:textId="77777777" w:rsidR="000B69C8" w:rsidRPr="00156C49" w:rsidRDefault="008D2090" w:rsidP="00284A2B">
            <w:pPr>
              <w:pStyle w:val="TableParagraph"/>
              <w:spacing w:before="78"/>
              <w:jc w:val="center"/>
              <w:rPr>
                <w:rFonts w:ascii="Times New Roman" w:hAnsi="Times New Roman" w:cs="Times New Roman"/>
                <w:b/>
              </w:rPr>
            </w:pPr>
            <w:r w:rsidRPr="00156C49">
              <w:rPr>
                <w:rFonts w:ascii="Times New Roman" w:hAnsi="Times New Roman" w:cs="Times New Roman"/>
                <w:b/>
                <w:color w:val="FFFFFF"/>
              </w:rPr>
              <w:t>Zhrnutie analýz a</w:t>
            </w:r>
            <w:r w:rsidRPr="00156C49">
              <w:rPr>
                <w:rFonts w:ascii="Times New Roman" w:hAnsi="Times New Roman" w:cs="Times New Roman"/>
                <w:b/>
                <w:color w:val="FFFFFF"/>
                <w:spacing w:val="-1"/>
              </w:rPr>
              <w:t xml:space="preserve"> </w:t>
            </w:r>
            <w:r w:rsidRPr="00156C49">
              <w:rPr>
                <w:rFonts w:ascii="Times New Roman" w:hAnsi="Times New Roman" w:cs="Times New Roman"/>
                <w:b/>
                <w:color w:val="FFFFFF"/>
              </w:rPr>
              <w:t>záverov</w:t>
            </w:r>
          </w:p>
        </w:tc>
      </w:tr>
      <w:tr w:rsidR="000B69C8" w14:paraId="5DFB5DAF" w14:textId="77777777" w:rsidTr="00104C40">
        <w:trPr>
          <w:trHeight w:val="686"/>
        </w:trPr>
        <w:tc>
          <w:tcPr>
            <w:tcW w:w="10452" w:type="dxa"/>
            <w:gridSpan w:val="2"/>
            <w:shd w:val="clear" w:color="auto" w:fill="F1F1F1"/>
            <w:vAlign w:val="center"/>
          </w:tcPr>
          <w:p w14:paraId="75411CD0" w14:textId="77777777" w:rsidR="000B69C8" w:rsidRPr="00284A2B" w:rsidRDefault="008D2090" w:rsidP="00104C40">
            <w:pPr>
              <w:pStyle w:val="TableParagraph"/>
              <w:spacing w:before="78"/>
              <w:ind w:left="1215" w:right="157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i/>
                <w:sz w:val="20"/>
                <w:szCs w:val="20"/>
              </w:rPr>
              <w:t>Informácie poskytované v súlade s článkom 3, ods. 3 nariadenia Komisie v prenesenej právomoci (EU) 2017/576 zo dňa 8. júna 2016</w:t>
            </w:r>
          </w:p>
        </w:tc>
      </w:tr>
      <w:tr w:rsidR="000B69C8" w14:paraId="10743569" w14:textId="77777777" w:rsidTr="00104C40">
        <w:trPr>
          <w:trHeight w:val="3862"/>
        </w:trPr>
        <w:tc>
          <w:tcPr>
            <w:tcW w:w="4602" w:type="dxa"/>
            <w:shd w:val="clear" w:color="auto" w:fill="F1F1F1"/>
            <w:vAlign w:val="center"/>
          </w:tcPr>
          <w:p w14:paraId="75189A90" w14:textId="77777777" w:rsidR="000B69C8" w:rsidRPr="00284A2B" w:rsidRDefault="008D2090" w:rsidP="00104C40">
            <w:pPr>
              <w:pStyle w:val="TableParagraph"/>
              <w:spacing w:before="1"/>
              <w:ind w:left="105" w:right="12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i/>
                <w:sz w:val="20"/>
                <w:szCs w:val="20"/>
              </w:rPr>
              <w:t>a) vysvetlenie, aký relatívny význam Spoločnosť pri posudzovaní kvality vykonávania prisúdila faktorom ovplyvňujúcim vykonanie, ako je cena, náklady, rýchlosť, pravdepodobnosť vykonania alebo akékoľvek iné hľadisko vrátane kvalitatívnych faktorov;</w:t>
            </w:r>
          </w:p>
        </w:tc>
        <w:tc>
          <w:tcPr>
            <w:tcW w:w="5850" w:type="dxa"/>
            <w:vAlign w:val="center"/>
          </w:tcPr>
          <w:p w14:paraId="4BEE7488" w14:textId="77777777" w:rsidR="000B69C8" w:rsidRPr="00284A2B" w:rsidRDefault="008D2090" w:rsidP="00104C40">
            <w:pPr>
              <w:pStyle w:val="TableParagraph"/>
              <w:spacing w:before="78"/>
              <w:ind w:left="230" w:right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Ak existuje viac ako jedno konkurenčné miesto výkonu pokynu pre finančný nástroj, Spoločnosť prihliada pri výbere miesta výkonu aj na ďalšie činitele, s ohľadom na konkrétny finančný nástroj a veľkosť pokynu. Činitele použité pri výbere konkrétneho miesta výkonu a ich relatívna závažnosť sú nasledovné:</w:t>
            </w:r>
          </w:p>
          <w:p w14:paraId="15F966BE" w14:textId="77777777" w:rsidR="000B69C8" w:rsidRPr="00284A2B" w:rsidRDefault="008D2090" w:rsidP="00104C40">
            <w:pPr>
              <w:pStyle w:val="TableParagraph"/>
              <w:spacing w:before="1"/>
              <w:ind w:left="230" w:right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Spoločnosť ako prioritné kritérium používa cenu finančného nástroja spoločne s nákladmi spojenými s vykonaním pokynov vrátane poplatkov pre miesta výkonu, poplatkov za zúčtovanie a vyrovnanie a akýchkoľvek poplatkov hradených tretím osobám zapojených do vykonania pokynu.</w:t>
            </w:r>
          </w:p>
          <w:p w14:paraId="1BE738A1" w14:textId="77777777" w:rsidR="000B69C8" w:rsidRPr="00284A2B" w:rsidRDefault="008D2090" w:rsidP="00104C40">
            <w:pPr>
              <w:pStyle w:val="TableParagraph"/>
              <w:ind w:left="230" w:right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Ak Spoločnosť vykonáva pokyn na účet klienta najlepší výsledok sa určí na základe zváženia všetkých podmienok, ktoré vychádzajú z ceny finančného nástroja a všetkých nákladov súvisiacich s výkonom pokynu. Ak miesto výkonu pokynu neurčí klient a miesta výkonu pokynu majú porovnateľne dobré podmienky, rozhodujúcim faktorom sú rýchlosť a pravdepodobnosť vykonania pokynu. Pri určovaní miest výkonu Spoločnosť zohľadňuje aj rôzne kvalitatívne faktory.</w:t>
            </w:r>
          </w:p>
        </w:tc>
      </w:tr>
      <w:tr w:rsidR="000B69C8" w14:paraId="46FA6A9C" w14:textId="77777777" w:rsidTr="00156C49">
        <w:trPr>
          <w:trHeight w:val="929"/>
        </w:trPr>
        <w:tc>
          <w:tcPr>
            <w:tcW w:w="4602" w:type="dxa"/>
            <w:shd w:val="clear" w:color="auto" w:fill="F1F1F1"/>
            <w:vAlign w:val="center"/>
          </w:tcPr>
          <w:p w14:paraId="6C718B07" w14:textId="77777777" w:rsidR="000B69C8" w:rsidRPr="00284A2B" w:rsidRDefault="008D2090" w:rsidP="00104C40">
            <w:pPr>
              <w:pStyle w:val="TableParagraph"/>
              <w:ind w:left="105" w:right="12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i/>
                <w:sz w:val="20"/>
                <w:szCs w:val="20"/>
              </w:rPr>
              <w:t>b) popis prípadných úzkych väzieb, konfliktov záujmov a spoločného vlastníctva s ktorýmkoľvek z miest využívaných k vykonávaniu pokynov;</w:t>
            </w:r>
          </w:p>
        </w:tc>
        <w:tc>
          <w:tcPr>
            <w:tcW w:w="5850" w:type="dxa"/>
            <w:vAlign w:val="center"/>
          </w:tcPr>
          <w:p w14:paraId="246EBAA1" w14:textId="2FC72C17" w:rsidR="000B69C8" w:rsidRPr="00284A2B" w:rsidRDefault="008D2090" w:rsidP="00104C40">
            <w:pPr>
              <w:pStyle w:val="TableParagraph"/>
              <w:spacing w:before="113" w:line="219" w:lineRule="exact"/>
              <w:ind w:left="112" w:right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Žiadne</w:t>
            </w:r>
            <w:r w:rsidRPr="00284A2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úzke</w:t>
            </w:r>
            <w:r w:rsidRPr="00284A2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väzby</w:t>
            </w:r>
            <w:r w:rsidRPr="00284A2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84A2B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ani</w:t>
            </w:r>
            <w:r w:rsidRPr="00284A2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konflikty</w:t>
            </w:r>
            <w:r w:rsidRPr="00284A2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záujmov</w:t>
            </w:r>
            <w:r w:rsidRPr="00284A2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Spoločnosť</w:t>
            </w:r>
            <w:r w:rsidRPr="00284A2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pri</w:t>
            </w:r>
            <w:r w:rsidR="00284A2B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o</w:t>
            </w: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bchodovaní</w:t>
            </w:r>
            <w:r w:rsidRPr="00284A2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84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akciami neeviduje.</w:t>
            </w:r>
          </w:p>
        </w:tc>
      </w:tr>
      <w:tr w:rsidR="000B69C8" w14:paraId="4F1C173A" w14:textId="77777777" w:rsidTr="00156C49">
        <w:trPr>
          <w:trHeight w:val="1126"/>
        </w:trPr>
        <w:tc>
          <w:tcPr>
            <w:tcW w:w="4602" w:type="dxa"/>
            <w:shd w:val="clear" w:color="auto" w:fill="F1F1F1"/>
            <w:vAlign w:val="center"/>
          </w:tcPr>
          <w:p w14:paraId="0FD8BE63" w14:textId="77777777" w:rsidR="000B69C8" w:rsidRPr="00284A2B" w:rsidRDefault="008D2090" w:rsidP="00104C40">
            <w:pPr>
              <w:pStyle w:val="TableParagraph"/>
              <w:spacing w:before="75"/>
              <w:ind w:left="105" w:right="12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i/>
                <w:sz w:val="20"/>
                <w:szCs w:val="20"/>
              </w:rPr>
              <w:t>c) popis prípadných zvláštnych dohôd s ktorýmkoľvek z miest vykonávania týkajúcich sa vyplácaných alebo prijímaných platieb a obdŕžaných zliav, rabatov alebo nepeňažných</w:t>
            </w:r>
            <w:r w:rsidRPr="00284A2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i/>
                <w:sz w:val="20"/>
                <w:szCs w:val="20"/>
              </w:rPr>
              <w:t>výhod;</w:t>
            </w:r>
          </w:p>
        </w:tc>
        <w:tc>
          <w:tcPr>
            <w:tcW w:w="5850" w:type="dxa"/>
            <w:vAlign w:val="center"/>
          </w:tcPr>
          <w:p w14:paraId="43CA9DFF" w14:textId="77777777" w:rsidR="000B69C8" w:rsidRPr="00284A2B" w:rsidRDefault="008D2090" w:rsidP="00104C40">
            <w:pPr>
              <w:pStyle w:val="TableParagraph"/>
              <w:spacing w:before="1" w:line="237" w:lineRule="auto"/>
              <w:ind w:left="112" w:right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Žiadne zvláštne dohody s ktorýmkoľvek z miest vykonávania pokynov Spoločnosť neeviduje.</w:t>
            </w:r>
          </w:p>
        </w:tc>
      </w:tr>
      <w:tr w:rsidR="000B69C8" w14:paraId="42382087" w14:textId="77777777" w:rsidTr="00156C49">
        <w:trPr>
          <w:trHeight w:val="986"/>
        </w:trPr>
        <w:tc>
          <w:tcPr>
            <w:tcW w:w="4602" w:type="dxa"/>
            <w:shd w:val="clear" w:color="auto" w:fill="F1F1F1"/>
            <w:vAlign w:val="center"/>
          </w:tcPr>
          <w:p w14:paraId="297936F2" w14:textId="77777777" w:rsidR="000B69C8" w:rsidRPr="00284A2B" w:rsidRDefault="008D2090" w:rsidP="00104C40">
            <w:pPr>
              <w:pStyle w:val="TableParagraph"/>
              <w:spacing w:line="247" w:lineRule="auto"/>
              <w:ind w:left="105" w:right="12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i/>
                <w:sz w:val="20"/>
                <w:szCs w:val="20"/>
              </w:rPr>
              <w:t>d) v prípade, že spoločnosť urobila zmenu zoznamu miest vykonávania, ktoré sú súčasťou jej zásad vykonávania pokynov, vysvetlenie faktorov, ktoré k tejto zmene</w:t>
            </w:r>
            <w:r w:rsidRPr="00284A2B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i/>
                <w:sz w:val="20"/>
                <w:szCs w:val="20"/>
              </w:rPr>
              <w:t>viedli;</w:t>
            </w:r>
          </w:p>
        </w:tc>
        <w:tc>
          <w:tcPr>
            <w:tcW w:w="5850" w:type="dxa"/>
            <w:vAlign w:val="center"/>
          </w:tcPr>
          <w:p w14:paraId="0C054BC3" w14:textId="77777777" w:rsidR="000B69C8" w:rsidRPr="00284A2B" w:rsidRDefault="008D2090" w:rsidP="00104C40">
            <w:pPr>
              <w:pStyle w:val="TableParagraph"/>
              <w:ind w:left="112" w:right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Oproti predchádzajúcemu obdobiu nedošlo k zmene miesta výkonu pokynov.</w:t>
            </w:r>
          </w:p>
        </w:tc>
      </w:tr>
      <w:tr w:rsidR="000B69C8" w14:paraId="0D394C7F" w14:textId="77777777" w:rsidTr="00156C49">
        <w:trPr>
          <w:trHeight w:val="1270"/>
        </w:trPr>
        <w:tc>
          <w:tcPr>
            <w:tcW w:w="4602" w:type="dxa"/>
            <w:shd w:val="clear" w:color="auto" w:fill="F1F1F1"/>
            <w:vAlign w:val="center"/>
          </w:tcPr>
          <w:p w14:paraId="2ABCCC38" w14:textId="77777777" w:rsidR="000B69C8" w:rsidRPr="00284A2B" w:rsidRDefault="008D2090" w:rsidP="00104C40">
            <w:pPr>
              <w:pStyle w:val="TableParagraph"/>
              <w:spacing w:before="128"/>
              <w:ind w:left="105" w:right="12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i/>
                <w:sz w:val="20"/>
                <w:szCs w:val="20"/>
              </w:rPr>
              <w:t>e) vysvetlenie rozdielov vo vykonávaní pokynov v závislosti na kategórii klientov, ak spoločnosť pristupuje k rôznym kategóriám klientov rozdielne a či to môže ovplyvniť opatrenie týkajúce sa vykonávania</w:t>
            </w:r>
            <w:r w:rsidRPr="00284A2B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284A2B">
              <w:rPr>
                <w:rFonts w:ascii="Times New Roman" w:hAnsi="Times New Roman" w:cs="Times New Roman"/>
                <w:i/>
                <w:sz w:val="20"/>
                <w:szCs w:val="20"/>
              </w:rPr>
              <w:t>pokynov;</w:t>
            </w:r>
          </w:p>
        </w:tc>
        <w:tc>
          <w:tcPr>
            <w:tcW w:w="5850" w:type="dxa"/>
            <w:vAlign w:val="center"/>
          </w:tcPr>
          <w:p w14:paraId="1B364D1F" w14:textId="77777777" w:rsidR="000B69C8" w:rsidRPr="00284A2B" w:rsidRDefault="008D2090" w:rsidP="00104C40">
            <w:pPr>
              <w:pStyle w:val="TableParagraph"/>
              <w:ind w:left="112" w:right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Pokyny sú vykonávané bez rozdielu kategórie klientov.</w:t>
            </w:r>
          </w:p>
        </w:tc>
      </w:tr>
      <w:tr w:rsidR="000B69C8" w14:paraId="745A08E3" w14:textId="77777777" w:rsidTr="00156C49">
        <w:trPr>
          <w:trHeight w:val="1259"/>
        </w:trPr>
        <w:tc>
          <w:tcPr>
            <w:tcW w:w="4602" w:type="dxa"/>
            <w:shd w:val="clear" w:color="auto" w:fill="F1F1F1"/>
            <w:vAlign w:val="center"/>
          </w:tcPr>
          <w:p w14:paraId="6A385A62" w14:textId="77777777" w:rsidR="000B69C8" w:rsidRPr="00284A2B" w:rsidRDefault="008D2090" w:rsidP="00104C40">
            <w:pPr>
              <w:pStyle w:val="TableParagraph"/>
              <w:spacing w:before="78"/>
              <w:ind w:left="105" w:right="12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i/>
                <w:sz w:val="20"/>
                <w:szCs w:val="20"/>
              </w:rPr>
              <w:t>f) informácie, či bola pri vykonávaní pokynov neprofesionálnych klientov daná prednosť iným kritériám, ako sú cena a náklady, a ako tieto kritériá prispeli k zabezpečeniu najlepšieho možného výsledku pre klienta z hľadiska celkového plnenia;</w:t>
            </w:r>
          </w:p>
        </w:tc>
        <w:tc>
          <w:tcPr>
            <w:tcW w:w="5850" w:type="dxa"/>
            <w:vAlign w:val="center"/>
          </w:tcPr>
          <w:p w14:paraId="72F32186" w14:textId="77777777" w:rsidR="000B69C8" w:rsidRPr="00284A2B" w:rsidRDefault="008D2090" w:rsidP="00104C40">
            <w:pPr>
              <w:pStyle w:val="TableParagraph"/>
              <w:ind w:left="112" w:right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Pokyny sú vykonávané bez rozdielu kategórie klientov.</w:t>
            </w:r>
          </w:p>
        </w:tc>
      </w:tr>
      <w:tr w:rsidR="000B69C8" w14:paraId="0E7C9C06" w14:textId="77777777" w:rsidTr="00104C40">
        <w:trPr>
          <w:trHeight w:val="1408"/>
        </w:trPr>
        <w:tc>
          <w:tcPr>
            <w:tcW w:w="4602" w:type="dxa"/>
            <w:shd w:val="clear" w:color="auto" w:fill="F1F1F1"/>
            <w:vAlign w:val="center"/>
          </w:tcPr>
          <w:p w14:paraId="405FAE63" w14:textId="77777777" w:rsidR="000B69C8" w:rsidRPr="00284A2B" w:rsidRDefault="008D2090" w:rsidP="00104C40">
            <w:pPr>
              <w:pStyle w:val="TableParagraph"/>
              <w:ind w:left="105" w:right="12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i/>
                <w:sz w:val="20"/>
                <w:szCs w:val="20"/>
              </w:rPr>
              <w:t>g) vysvetlenie, akým spôsobom spoločnosť použila údaje alebo nástroje súvisiace s kvalitou vykonávania, vrátane údajov zverejnených v zmysle nariadenia v prenesenej právomoci (EU) 2017/575;</w:t>
            </w:r>
          </w:p>
        </w:tc>
        <w:tc>
          <w:tcPr>
            <w:tcW w:w="5850" w:type="dxa"/>
            <w:vAlign w:val="center"/>
          </w:tcPr>
          <w:p w14:paraId="31B1D672" w14:textId="77777777" w:rsidR="000B69C8" w:rsidRPr="00284A2B" w:rsidRDefault="008D2090" w:rsidP="00104C40">
            <w:pPr>
              <w:pStyle w:val="TableParagraph"/>
              <w:spacing w:before="78"/>
              <w:ind w:left="112" w:right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A2B">
              <w:rPr>
                <w:rFonts w:ascii="Times New Roman" w:hAnsi="Times New Roman" w:cs="Times New Roman"/>
                <w:sz w:val="20"/>
                <w:szCs w:val="20"/>
              </w:rPr>
              <w:t>Z doterajších údajov Spoločnosť neidentifikovala potrebu zmeniť Stratégiu vykonávania pokynov, napr. zmenou priority faktorov ovplyvňujúcich vykonanie, ani potrebu zmeny miest výkonu. Spoločnosť však bude v ďalšom období pravidelne tieto informácie hodnotiť a zohľadňovať pri vykonávaní pokynov klientov.</w:t>
            </w:r>
          </w:p>
        </w:tc>
      </w:tr>
    </w:tbl>
    <w:p w14:paraId="371230AB" w14:textId="77777777" w:rsidR="000B69C8" w:rsidRDefault="000B69C8">
      <w:pPr>
        <w:jc w:val="both"/>
        <w:rPr>
          <w:rFonts w:ascii="Calibri" w:eastAsia="Calibri" w:hAnsi="Calibri" w:cs="Calibri"/>
          <w:sz w:val="18"/>
        </w:rPr>
      </w:pPr>
    </w:p>
    <w:p w14:paraId="26D3EB52" w14:textId="77777777" w:rsidR="000C7198" w:rsidRPr="000C7198" w:rsidRDefault="000C7198" w:rsidP="000C7198">
      <w:pPr>
        <w:rPr>
          <w:sz w:val="18"/>
        </w:rPr>
      </w:pPr>
    </w:p>
    <w:p w14:paraId="67FA573B" w14:textId="5BFA4332" w:rsidR="000B69C8" w:rsidRDefault="000C7198" w:rsidP="00284A2B">
      <w:pPr>
        <w:pStyle w:val="Zkladntext"/>
        <w:spacing w:line="276" w:lineRule="auto"/>
        <w:ind w:left="1112" w:right="1390"/>
        <w:jc w:val="both"/>
      </w:pPr>
      <w:r>
        <w:t xml:space="preserve">V Bratislave dňa </w:t>
      </w:r>
      <w:r w:rsidR="000E2CC1">
        <w:t>01.01.2025</w:t>
      </w:r>
    </w:p>
    <w:sectPr w:rsidR="000B69C8" w:rsidSect="000C7198">
      <w:footerReference w:type="default" r:id="rId9"/>
      <w:pgSz w:w="11900" w:h="16840"/>
      <w:pgMar w:top="1276" w:right="0" w:bottom="560" w:left="20" w:header="0" w:footer="3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2BC3E" w14:textId="77777777" w:rsidR="00C9406D" w:rsidRDefault="00C9406D">
      <w:r>
        <w:separator/>
      </w:r>
    </w:p>
  </w:endnote>
  <w:endnote w:type="continuationSeparator" w:id="0">
    <w:p w14:paraId="5D7B8232" w14:textId="77777777" w:rsidR="00C9406D" w:rsidRDefault="00C9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E5D6" w14:textId="6C9D98B8" w:rsidR="000B69C8" w:rsidRDefault="00202F5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25760" behindDoc="1" locked="0" layoutInCell="1" allowOverlap="1" wp14:anchorId="48C51636" wp14:editId="2F7D150E">
              <wp:simplePos x="0" y="0"/>
              <wp:positionH relativeFrom="page">
                <wp:posOffset>1427480</wp:posOffset>
              </wp:positionH>
              <wp:positionV relativeFrom="page">
                <wp:posOffset>10316210</wp:posOffset>
              </wp:positionV>
              <wp:extent cx="4459605" cy="235585"/>
              <wp:effectExtent l="0" t="0" r="0" b="0"/>
              <wp:wrapNone/>
              <wp:docPr id="2145686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60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48653" w14:textId="2F0DCDA9" w:rsidR="000B69C8" w:rsidRDefault="008D2090">
                          <w:pPr>
                            <w:spacing w:before="14"/>
                            <w:ind w:left="3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 xml:space="preserve">CAPITAL MARKETS, o.c.p., a.s., </w:t>
                          </w:r>
                          <w:r w:rsidR="00F541E8">
                            <w:rPr>
                              <w:color w:val="001F5F"/>
                              <w:sz w:val="16"/>
                            </w:rPr>
                            <w:t>Slávičie údolie 10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6, 811 0</w:t>
                          </w:r>
                          <w:r w:rsidR="00F541E8">
                            <w:rPr>
                              <w:color w:val="001F5F"/>
                              <w:sz w:val="16"/>
                            </w:rPr>
                            <w:t>2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 xml:space="preserve"> Bratislava, Tel.: +421 2 20706880</w:t>
                          </w:r>
                        </w:p>
                        <w:p w14:paraId="5A71DCF1" w14:textId="77777777" w:rsidR="000B69C8" w:rsidRDefault="008D2090">
                          <w:pPr>
                            <w:spacing w:before="14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001F5F"/>
                              <w:sz w:val="12"/>
                            </w:rPr>
                            <w:t>Spoločnosť je zapísaná v Obchodnom registri Okresného súdu Bratislava I, oddiel: Sa, vložka číslo: 4295/B, IČO: 36 853 054, DIČ: 2022505419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16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4pt;margin-top:812.3pt;width:351.15pt;height:18.55pt;z-index:-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" filled="f" stroked="f">
              <v:textbox inset="0,0,0,0">
                <w:txbxContent>
                  <w:p w14:paraId="1C148653" w14:textId="2F0DCDA9" w:rsidR="000B69C8" w:rsidRDefault="008D2090">
                    <w:pPr>
                      <w:spacing w:before="14"/>
                      <w:ind w:left="31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1F5F"/>
                        <w:sz w:val="16"/>
                      </w:rPr>
                      <w:t xml:space="preserve">CAPITAL MARKETS, o.c.p., a.s., </w:t>
                    </w:r>
                    <w:r w:rsidR="00F541E8">
                      <w:rPr>
                        <w:color w:val="001F5F"/>
                        <w:sz w:val="16"/>
                      </w:rPr>
                      <w:t>Slávičie údolie 10</w:t>
                    </w:r>
                    <w:r>
                      <w:rPr>
                        <w:color w:val="001F5F"/>
                        <w:sz w:val="16"/>
                      </w:rPr>
                      <w:t>6, 811 0</w:t>
                    </w:r>
                    <w:r w:rsidR="00F541E8">
                      <w:rPr>
                        <w:color w:val="001F5F"/>
                        <w:sz w:val="16"/>
                      </w:rPr>
                      <w:t>2</w:t>
                    </w:r>
                    <w:r>
                      <w:rPr>
                        <w:color w:val="001F5F"/>
                        <w:sz w:val="16"/>
                      </w:rPr>
                      <w:t xml:space="preserve"> Bratislava, Tel.: +421 2 20706880</w:t>
                    </w:r>
                  </w:p>
                  <w:p w14:paraId="5A71DCF1" w14:textId="77777777" w:rsidR="000B69C8" w:rsidRDefault="008D2090">
                    <w:pPr>
                      <w:spacing w:before="14"/>
                      <w:jc w:val="center"/>
                      <w:rPr>
                        <w:sz w:val="12"/>
                      </w:rPr>
                    </w:pPr>
                    <w:r>
                      <w:rPr>
                        <w:color w:val="001F5F"/>
                        <w:sz w:val="12"/>
                      </w:rPr>
                      <w:t>Spoločnosť je zapísaná v Obchodnom registri Okresného súdu Bratislava I, oddiel: Sa, vložka číslo: 4295/B, IČO: 36 853 054, DIČ: 2022505419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55B45" w14:textId="77777777" w:rsidR="0005509F" w:rsidRDefault="0005509F" w:rsidP="0005509F">
    <w:pPr>
      <w:spacing w:before="14"/>
      <w:ind w:left="31"/>
      <w:jc w:val="center"/>
      <w:rPr>
        <w:sz w:val="16"/>
      </w:rPr>
    </w:pPr>
    <w:r>
      <w:rPr>
        <w:color w:val="001F5F"/>
        <w:sz w:val="16"/>
      </w:rPr>
      <w:t>CAPITAL MARKETS, o.c.p., a.s., Slávičie údolie 106, 811 02 Bratislava, Tel.: +421 2 20706880</w:t>
    </w:r>
  </w:p>
  <w:p w14:paraId="7FFB2E98" w14:textId="77777777" w:rsidR="0005509F" w:rsidRDefault="0005509F" w:rsidP="0005509F">
    <w:pPr>
      <w:spacing w:before="14"/>
      <w:jc w:val="center"/>
      <w:rPr>
        <w:sz w:val="12"/>
      </w:rPr>
    </w:pPr>
    <w:r>
      <w:rPr>
        <w:color w:val="001F5F"/>
        <w:sz w:val="12"/>
      </w:rPr>
      <w:t>Spoločnosť je zapísaná v Obchodnom registri Okresného súdu Bratislava I, oddiel: Sa, vložka číslo: 4295/B, IČO: 36 853 054, DIČ: 2022505419</w:t>
    </w:r>
  </w:p>
  <w:p w14:paraId="25C2740F" w14:textId="27310263" w:rsidR="000B69C8" w:rsidRDefault="000B69C8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4047B" w14:textId="77777777" w:rsidR="00C9406D" w:rsidRDefault="00C9406D">
      <w:r>
        <w:separator/>
      </w:r>
    </w:p>
  </w:footnote>
  <w:footnote w:type="continuationSeparator" w:id="0">
    <w:p w14:paraId="5795F10F" w14:textId="77777777" w:rsidR="00C9406D" w:rsidRDefault="00C9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DA3"/>
    <w:multiLevelType w:val="hybridMultilevel"/>
    <w:tmpl w:val="3A180092"/>
    <w:lvl w:ilvl="0" w:tplc="3D1CA956">
      <w:start w:val="1"/>
      <w:numFmt w:val="lowerLetter"/>
      <w:lvlText w:val="%1)"/>
      <w:lvlJc w:val="left"/>
      <w:pPr>
        <w:ind w:left="183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k-SK" w:eastAsia="sk-SK" w:bidi="sk-SK"/>
      </w:rPr>
    </w:lvl>
    <w:lvl w:ilvl="1" w:tplc="E69EBECE">
      <w:numFmt w:val="bullet"/>
      <w:lvlText w:val="•"/>
      <w:lvlJc w:val="left"/>
      <w:pPr>
        <w:ind w:left="2843" w:hanging="360"/>
      </w:pPr>
      <w:rPr>
        <w:rFonts w:hint="default"/>
        <w:lang w:val="sk-SK" w:eastAsia="sk-SK" w:bidi="sk-SK"/>
      </w:rPr>
    </w:lvl>
    <w:lvl w:ilvl="2" w:tplc="85849B26">
      <w:numFmt w:val="bullet"/>
      <w:lvlText w:val="•"/>
      <w:lvlJc w:val="left"/>
      <w:pPr>
        <w:ind w:left="3847" w:hanging="360"/>
      </w:pPr>
      <w:rPr>
        <w:rFonts w:hint="default"/>
        <w:lang w:val="sk-SK" w:eastAsia="sk-SK" w:bidi="sk-SK"/>
      </w:rPr>
    </w:lvl>
    <w:lvl w:ilvl="3" w:tplc="79E0E5AA">
      <w:numFmt w:val="bullet"/>
      <w:lvlText w:val="•"/>
      <w:lvlJc w:val="left"/>
      <w:pPr>
        <w:ind w:left="4851" w:hanging="360"/>
      </w:pPr>
      <w:rPr>
        <w:rFonts w:hint="default"/>
        <w:lang w:val="sk-SK" w:eastAsia="sk-SK" w:bidi="sk-SK"/>
      </w:rPr>
    </w:lvl>
    <w:lvl w:ilvl="4" w:tplc="3D426684">
      <w:numFmt w:val="bullet"/>
      <w:lvlText w:val="•"/>
      <w:lvlJc w:val="left"/>
      <w:pPr>
        <w:ind w:left="5855" w:hanging="360"/>
      </w:pPr>
      <w:rPr>
        <w:rFonts w:hint="default"/>
        <w:lang w:val="sk-SK" w:eastAsia="sk-SK" w:bidi="sk-SK"/>
      </w:rPr>
    </w:lvl>
    <w:lvl w:ilvl="5" w:tplc="566A95EC">
      <w:numFmt w:val="bullet"/>
      <w:lvlText w:val="•"/>
      <w:lvlJc w:val="left"/>
      <w:pPr>
        <w:ind w:left="6859" w:hanging="360"/>
      </w:pPr>
      <w:rPr>
        <w:rFonts w:hint="default"/>
        <w:lang w:val="sk-SK" w:eastAsia="sk-SK" w:bidi="sk-SK"/>
      </w:rPr>
    </w:lvl>
    <w:lvl w:ilvl="6" w:tplc="F1724E24">
      <w:numFmt w:val="bullet"/>
      <w:lvlText w:val="•"/>
      <w:lvlJc w:val="left"/>
      <w:pPr>
        <w:ind w:left="7863" w:hanging="360"/>
      </w:pPr>
      <w:rPr>
        <w:rFonts w:hint="default"/>
        <w:lang w:val="sk-SK" w:eastAsia="sk-SK" w:bidi="sk-SK"/>
      </w:rPr>
    </w:lvl>
    <w:lvl w:ilvl="7" w:tplc="43463EC4">
      <w:numFmt w:val="bullet"/>
      <w:lvlText w:val="•"/>
      <w:lvlJc w:val="left"/>
      <w:pPr>
        <w:ind w:left="8867" w:hanging="360"/>
      </w:pPr>
      <w:rPr>
        <w:rFonts w:hint="default"/>
        <w:lang w:val="sk-SK" w:eastAsia="sk-SK" w:bidi="sk-SK"/>
      </w:rPr>
    </w:lvl>
    <w:lvl w:ilvl="8" w:tplc="4F6436DC">
      <w:numFmt w:val="bullet"/>
      <w:lvlText w:val="•"/>
      <w:lvlJc w:val="left"/>
      <w:pPr>
        <w:ind w:left="9871" w:hanging="360"/>
      </w:pPr>
      <w:rPr>
        <w:rFonts w:hint="default"/>
        <w:lang w:val="sk-SK" w:eastAsia="sk-SK" w:bidi="sk-SK"/>
      </w:rPr>
    </w:lvl>
  </w:abstractNum>
  <w:abstractNum w:abstractNumId="1" w15:restartNumberingAfterBreak="0">
    <w:nsid w:val="724B7776"/>
    <w:multiLevelType w:val="hybridMultilevel"/>
    <w:tmpl w:val="6540C24C"/>
    <w:lvl w:ilvl="0" w:tplc="70CCC7CC">
      <w:start w:val="1"/>
      <w:numFmt w:val="decimal"/>
      <w:lvlText w:val="%1."/>
      <w:lvlJc w:val="left"/>
      <w:pPr>
        <w:ind w:left="1833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sk-SK" w:eastAsia="sk-SK" w:bidi="sk-SK"/>
      </w:rPr>
    </w:lvl>
    <w:lvl w:ilvl="1" w:tplc="96A4A31E">
      <w:numFmt w:val="bullet"/>
      <w:lvlText w:val="•"/>
      <w:lvlJc w:val="left"/>
      <w:pPr>
        <w:ind w:left="2843" w:hanging="360"/>
      </w:pPr>
      <w:rPr>
        <w:rFonts w:hint="default"/>
        <w:lang w:val="sk-SK" w:eastAsia="sk-SK" w:bidi="sk-SK"/>
      </w:rPr>
    </w:lvl>
    <w:lvl w:ilvl="2" w:tplc="399C8A82">
      <w:numFmt w:val="bullet"/>
      <w:lvlText w:val="•"/>
      <w:lvlJc w:val="left"/>
      <w:pPr>
        <w:ind w:left="3847" w:hanging="360"/>
      </w:pPr>
      <w:rPr>
        <w:rFonts w:hint="default"/>
        <w:lang w:val="sk-SK" w:eastAsia="sk-SK" w:bidi="sk-SK"/>
      </w:rPr>
    </w:lvl>
    <w:lvl w:ilvl="3" w:tplc="0FDE0196">
      <w:numFmt w:val="bullet"/>
      <w:lvlText w:val="•"/>
      <w:lvlJc w:val="left"/>
      <w:pPr>
        <w:ind w:left="4851" w:hanging="360"/>
      </w:pPr>
      <w:rPr>
        <w:rFonts w:hint="default"/>
        <w:lang w:val="sk-SK" w:eastAsia="sk-SK" w:bidi="sk-SK"/>
      </w:rPr>
    </w:lvl>
    <w:lvl w:ilvl="4" w:tplc="4B44C648">
      <w:numFmt w:val="bullet"/>
      <w:lvlText w:val="•"/>
      <w:lvlJc w:val="left"/>
      <w:pPr>
        <w:ind w:left="5855" w:hanging="360"/>
      </w:pPr>
      <w:rPr>
        <w:rFonts w:hint="default"/>
        <w:lang w:val="sk-SK" w:eastAsia="sk-SK" w:bidi="sk-SK"/>
      </w:rPr>
    </w:lvl>
    <w:lvl w:ilvl="5" w:tplc="3AFC692E">
      <w:numFmt w:val="bullet"/>
      <w:lvlText w:val="•"/>
      <w:lvlJc w:val="left"/>
      <w:pPr>
        <w:ind w:left="6859" w:hanging="360"/>
      </w:pPr>
      <w:rPr>
        <w:rFonts w:hint="default"/>
        <w:lang w:val="sk-SK" w:eastAsia="sk-SK" w:bidi="sk-SK"/>
      </w:rPr>
    </w:lvl>
    <w:lvl w:ilvl="6" w:tplc="75363BB4">
      <w:numFmt w:val="bullet"/>
      <w:lvlText w:val="•"/>
      <w:lvlJc w:val="left"/>
      <w:pPr>
        <w:ind w:left="7863" w:hanging="360"/>
      </w:pPr>
      <w:rPr>
        <w:rFonts w:hint="default"/>
        <w:lang w:val="sk-SK" w:eastAsia="sk-SK" w:bidi="sk-SK"/>
      </w:rPr>
    </w:lvl>
    <w:lvl w:ilvl="7" w:tplc="D6BC73DC">
      <w:numFmt w:val="bullet"/>
      <w:lvlText w:val="•"/>
      <w:lvlJc w:val="left"/>
      <w:pPr>
        <w:ind w:left="8867" w:hanging="360"/>
      </w:pPr>
      <w:rPr>
        <w:rFonts w:hint="default"/>
        <w:lang w:val="sk-SK" w:eastAsia="sk-SK" w:bidi="sk-SK"/>
      </w:rPr>
    </w:lvl>
    <w:lvl w:ilvl="8" w:tplc="32042464">
      <w:numFmt w:val="bullet"/>
      <w:lvlText w:val="•"/>
      <w:lvlJc w:val="left"/>
      <w:pPr>
        <w:ind w:left="9871" w:hanging="360"/>
      </w:pPr>
      <w:rPr>
        <w:rFonts w:hint="default"/>
        <w:lang w:val="sk-SK" w:eastAsia="sk-SK" w:bidi="sk-SK"/>
      </w:rPr>
    </w:lvl>
  </w:abstractNum>
  <w:num w:numId="1" w16cid:durableId="210851702">
    <w:abstractNumId w:val="0"/>
  </w:num>
  <w:num w:numId="2" w16cid:durableId="101476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C8"/>
    <w:rsid w:val="0005509F"/>
    <w:rsid w:val="000B69C8"/>
    <w:rsid w:val="000C7198"/>
    <w:rsid w:val="000E0888"/>
    <w:rsid w:val="000E2CC1"/>
    <w:rsid w:val="00104C40"/>
    <w:rsid w:val="00156C49"/>
    <w:rsid w:val="00202F54"/>
    <w:rsid w:val="00270A02"/>
    <w:rsid w:val="00284A2B"/>
    <w:rsid w:val="002F6E36"/>
    <w:rsid w:val="00333A75"/>
    <w:rsid w:val="003C79BD"/>
    <w:rsid w:val="003E01A1"/>
    <w:rsid w:val="00527283"/>
    <w:rsid w:val="00554DD5"/>
    <w:rsid w:val="006914B9"/>
    <w:rsid w:val="0079385B"/>
    <w:rsid w:val="007C795C"/>
    <w:rsid w:val="007E381F"/>
    <w:rsid w:val="008A4299"/>
    <w:rsid w:val="008D2090"/>
    <w:rsid w:val="00AC33DD"/>
    <w:rsid w:val="00B003CD"/>
    <w:rsid w:val="00B5174F"/>
    <w:rsid w:val="00B77A57"/>
    <w:rsid w:val="00C9406D"/>
    <w:rsid w:val="00CA10B1"/>
    <w:rsid w:val="00D96D67"/>
    <w:rsid w:val="00F01D71"/>
    <w:rsid w:val="00F541E8"/>
    <w:rsid w:val="00FB6748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5E34"/>
  <w15:docId w15:val="{9AA362F5-8890-48D0-997B-F73C2CAE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1407" w:hanging="421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1833" w:hanging="361"/>
    </w:pPr>
  </w:style>
  <w:style w:type="paragraph" w:customStyle="1" w:styleId="TableParagraph">
    <w:name w:val="Table Paragraph"/>
    <w:basedOn w:val="Normlny"/>
    <w:uiPriority w:val="1"/>
    <w:qFormat/>
    <w:rPr>
      <w:rFonts w:ascii="Calibri" w:eastAsia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F541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41E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F54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41E8"/>
    <w:rPr>
      <w:rFonts w:ascii="Times New Roman" w:eastAsia="Times New Roman" w:hAnsi="Times New Roman" w:cs="Times New Roman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maindeal</dc:creator>
  <cp:lastModifiedBy>David Horvath</cp:lastModifiedBy>
  <cp:revision>6</cp:revision>
  <dcterms:created xsi:type="dcterms:W3CDTF">2025-01-03T15:05:00Z</dcterms:created>
  <dcterms:modified xsi:type="dcterms:W3CDTF">2025-01-10T11:51:00Z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2020-01-21T00:00:00Z</vt:filetime>
  </property>
</Properties>
</file>